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C3" w:rsidRPr="00CD370F" w:rsidRDefault="00CD370F" w:rsidP="00CD370F">
      <w:pPr>
        <w:jc w:val="center"/>
        <w:rPr>
          <w:b/>
          <w:u w:val="single"/>
        </w:rPr>
      </w:pPr>
      <w:r w:rsidRPr="00CD370F">
        <w:rPr>
          <w:b/>
          <w:u w:val="single"/>
        </w:rPr>
        <w:t>UK Trade</w:t>
      </w:r>
    </w:p>
    <w:p w:rsidR="00CD370F" w:rsidRDefault="00CD370F" w:rsidP="00CD370F">
      <w:pPr>
        <w:jc w:val="center"/>
        <w:rPr>
          <w:b/>
          <w:u w:val="single"/>
        </w:rPr>
      </w:pPr>
      <w:r w:rsidRPr="00CD370F">
        <w:rPr>
          <w:b/>
          <w:u w:val="single"/>
        </w:rPr>
        <w:t>A</w:t>
      </w:r>
      <w:r w:rsidR="00FE3B0A">
        <w:rPr>
          <w:b/>
          <w:u w:val="single"/>
        </w:rPr>
        <w:t>S Economics Unit 2</w:t>
      </w:r>
    </w:p>
    <w:p w:rsidR="00CD370F" w:rsidRDefault="00CD370F" w:rsidP="00CD370F">
      <w:pPr>
        <w:rPr>
          <w:b/>
          <w:i/>
        </w:rPr>
      </w:pPr>
      <w:r w:rsidRPr="00CD370F">
        <w:rPr>
          <w:b/>
          <w:i/>
        </w:rPr>
        <w:t>Analyse each of the following graphs showing UK trade statistics</w:t>
      </w:r>
      <w:r>
        <w:rPr>
          <w:b/>
          <w:i/>
        </w:rPr>
        <w:t>:</w:t>
      </w:r>
    </w:p>
    <w:p w:rsidR="00CD370F" w:rsidRPr="00010124" w:rsidRDefault="00CD370F" w:rsidP="00CD370F">
      <w:pPr>
        <w:rPr>
          <w:b/>
          <w:u w:val="single"/>
        </w:rPr>
      </w:pPr>
      <w:r w:rsidRPr="00010124">
        <w:rPr>
          <w:b/>
          <w:u w:val="single"/>
        </w:rPr>
        <w:t>UK Current Account 2008:</w:t>
      </w:r>
    </w:p>
    <w:tbl>
      <w:tblPr>
        <w:tblStyle w:val="TableGrid"/>
        <w:tblW w:w="9138" w:type="dxa"/>
        <w:tblLook w:val="0420" w:firstRow="1" w:lastRow="0" w:firstColumn="0" w:lastColumn="0" w:noHBand="0" w:noVBand="1"/>
      </w:tblPr>
      <w:tblGrid>
        <w:gridCol w:w="4569"/>
        <w:gridCol w:w="4569"/>
      </w:tblGrid>
      <w:tr w:rsidR="00CD370F" w:rsidRPr="00CD370F" w:rsidTr="00CD370F">
        <w:trPr>
          <w:trHeight w:val="506"/>
        </w:trPr>
        <w:tc>
          <w:tcPr>
            <w:tcW w:w="4569" w:type="dxa"/>
            <w:hideMark/>
          </w:tcPr>
          <w:p w:rsidR="00CD370F" w:rsidRPr="00CD370F" w:rsidRDefault="00CD370F" w:rsidP="00CD370F">
            <w:pPr>
              <w:spacing w:after="200" w:line="276" w:lineRule="auto"/>
              <w:rPr>
                <w:b/>
                <w:i/>
              </w:rPr>
            </w:pPr>
          </w:p>
        </w:tc>
        <w:tc>
          <w:tcPr>
            <w:tcW w:w="4569" w:type="dxa"/>
            <w:hideMark/>
          </w:tcPr>
          <w:p w:rsidR="00801F8B" w:rsidRPr="00CD370F" w:rsidRDefault="00CD370F" w:rsidP="00CD370F">
            <w:pPr>
              <w:spacing w:after="200" w:line="276" w:lineRule="auto"/>
              <w:jc w:val="right"/>
              <w:rPr>
                <w:b/>
                <w:i/>
              </w:rPr>
            </w:pPr>
            <w:r w:rsidRPr="00CD370F">
              <w:rPr>
                <w:b/>
                <w:bCs/>
                <w:i/>
              </w:rPr>
              <w:t>£m</w:t>
            </w:r>
          </w:p>
        </w:tc>
      </w:tr>
      <w:tr w:rsidR="00CD370F" w:rsidRPr="00CD370F" w:rsidTr="00CD370F">
        <w:trPr>
          <w:trHeight w:val="506"/>
        </w:trPr>
        <w:tc>
          <w:tcPr>
            <w:tcW w:w="4569" w:type="dxa"/>
            <w:hideMark/>
          </w:tcPr>
          <w:p w:rsidR="00801F8B" w:rsidRPr="00CD370F" w:rsidRDefault="00CD370F" w:rsidP="00CD370F">
            <w:pPr>
              <w:spacing w:after="200" w:line="276" w:lineRule="auto"/>
              <w:rPr>
                <w:b/>
                <w:i/>
              </w:rPr>
            </w:pPr>
            <w:r w:rsidRPr="00CD370F">
              <w:rPr>
                <w:b/>
                <w:bCs/>
                <w:i/>
              </w:rPr>
              <w:t>Export of goods</w:t>
            </w:r>
          </w:p>
        </w:tc>
        <w:tc>
          <w:tcPr>
            <w:tcW w:w="4569" w:type="dxa"/>
            <w:hideMark/>
          </w:tcPr>
          <w:p w:rsidR="00801F8B" w:rsidRPr="00CD370F" w:rsidRDefault="00CD370F" w:rsidP="00CD370F">
            <w:pPr>
              <w:spacing w:after="200" w:line="276" w:lineRule="auto"/>
              <w:jc w:val="right"/>
              <w:rPr>
                <w:i/>
              </w:rPr>
            </w:pPr>
            <w:r w:rsidRPr="00CD370F">
              <w:rPr>
                <w:bCs/>
                <w:i/>
              </w:rPr>
              <w:t>251,102</w:t>
            </w:r>
          </w:p>
        </w:tc>
      </w:tr>
      <w:tr w:rsidR="00CD370F" w:rsidRPr="00CD370F" w:rsidTr="00CD370F">
        <w:trPr>
          <w:trHeight w:val="506"/>
        </w:trPr>
        <w:tc>
          <w:tcPr>
            <w:tcW w:w="4569" w:type="dxa"/>
            <w:hideMark/>
          </w:tcPr>
          <w:p w:rsidR="00801F8B" w:rsidRPr="00CD370F" w:rsidRDefault="00CD370F" w:rsidP="00CD370F">
            <w:pPr>
              <w:spacing w:after="200" w:line="276" w:lineRule="auto"/>
              <w:rPr>
                <w:b/>
                <w:i/>
              </w:rPr>
            </w:pPr>
            <w:r w:rsidRPr="00CD370F">
              <w:rPr>
                <w:b/>
                <w:bCs/>
                <w:i/>
              </w:rPr>
              <w:t>Import of goods</w:t>
            </w:r>
          </w:p>
        </w:tc>
        <w:tc>
          <w:tcPr>
            <w:tcW w:w="4569" w:type="dxa"/>
            <w:hideMark/>
          </w:tcPr>
          <w:p w:rsidR="00801F8B" w:rsidRPr="00CD370F" w:rsidRDefault="00CD370F" w:rsidP="00CD370F">
            <w:pPr>
              <w:spacing w:after="200" w:line="276" w:lineRule="auto"/>
              <w:jc w:val="right"/>
              <w:rPr>
                <w:i/>
              </w:rPr>
            </w:pPr>
            <w:r w:rsidRPr="00CD370F">
              <w:rPr>
                <w:bCs/>
                <w:i/>
              </w:rPr>
              <w:t>343,979</w:t>
            </w:r>
          </w:p>
        </w:tc>
      </w:tr>
      <w:tr w:rsidR="00CD370F" w:rsidRPr="00CD370F" w:rsidTr="00CD370F">
        <w:trPr>
          <w:trHeight w:val="506"/>
        </w:trPr>
        <w:tc>
          <w:tcPr>
            <w:tcW w:w="4569" w:type="dxa"/>
            <w:hideMark/>
          </w:tcPr>
          <w:p w:rsidR="00801F8B" w:rsidRPr="00CD370F" w:rsidRDefault="00CD370F" w:rsidP="00CD370F">
            <w:pPr>
              <w:spacing w:after="200" w:line="276" w:lineRule="auto"/>
              <w:rPr>
                <w:b/>
                <w:i/>
              </w:rPr>
            </w:pPr>
            <w:r w:rsidRPr="00CD370F">
              <w:rPr>
                <w:b/>
                <w:bCs/>
                <w:i/>
              </w:rPr>
              <w:t>Export of services</w:t>
            </w:r>
          </w:p>
        </w:tc>
        <w:tc>
          <w:tcPr>
            <w:tcW w:w="4569" w:type="dxa"/>
            <w:hideMark/>
          </w:tcPr>
          <w:p w:rsidR="00801F8B" w:rsidRPr="00CD370F" w:rsidRDefault="00CD370F" w:rsidP="00CD370F">
            <w:pPr>
              <w:spacing w:after="200" w:line="276" w:lineRule="auto"/>
              <w:jc w:val="right"/>
              <w:rPr>
                <w:i/>
              </w:rPr>
            </w:pPr>
            <w:r w:rsidRPr="00CD370F">
              <w:rPr>
                <w:bCs/>
                <w:i/>
              </w:rPr>
              <w:t>170,399</w:t>
            </w:r>
          </w:p>
        </w:tc>
      </w:tr>
      <w:tr w:rsidR="00CD370F" w:rsidRPr="00CD370F" w:rsidTr="00CD370F">
        <w:trPr>
          <w:trHeight w:val="506"/>
        </w:trPr>
        <w:tc>
          <w:tcPr>
            <w:tcW w:w="4569" w:type="dxa"/>
            <w:hideMark/>
          </w:tcPr>
          <w:p w:rsidR="00801F8B" w:rsidRPr="00CD370F" w:rsidRDefault="00CD370F" w:rsidP="00CD370F">
            <w:pPr>
              <w:spacing w:after="200" w:line="276" w:lineRule="auto"/>
              <w:rPr>
                <w:b/>
                <w:i/>
              </w:rPr>
            </w:pPr>
            <w:r w:rsidRPr="00CD370F">
              <w:rPr>
                <w:b/>
                <w:bCs/>
                <w:i/>
              </w:rPr>
              <w:t>Import of services</w:t>
            </w:r>
          </w:p>
        </w:tc>
        <w:tc>
          <w:tcPr>
            <w:tcW w:w="4569" w:type="dxa"/>
            <w:hideMark/>
          </w:tcPr>
          <w:p w:rsidR="00801F8B" w:rsidRPr="00CD370F" w:rsidRDefault="00CD370F" w:rsidP="00CD370F">
            <w:pPr>
              <w:spacing w:after="200" w:line="276" w:lineRule="auto"/>
              <w:jc w:val="right"/>
              <w:rPr>
                <w:i/>
              </w:rPr>
            </w:pPr>
            <w:r w:rsidRPr="00CD370F">
              <w:rPr>
                <w:bCs/>
                <w:i/>
              </w:rPr>
              <w:t>115,920</w:t>
            </w:r>
          </w:p>
        </w:tc>
      </w:tr>
      <w:tr w:rsidR="00CD370F" w:rsidRPr="00CD370F" w:rsidTr="00CD370F">
        <w:trPr>
          <w:trHeight w:val="506"/>
        </w:trPr>
        <w:tc>
          <w:tcPr>
            <w:tcW w:w="4569" w:type="dxa"/>
            <w:hideMark/>
          </w:tcPr>
          <w:p w:rsidR="00801F8B" w:rsidRPr="00CD370F" w:rsidRDefault="00CD370F" w:rsidP="00CD370F">
            <w:pPr>
              <w:spacing w:after="200" w:line="276" w:lineRule="auto"/>
              <w:rPr>
                <w:b/>
                <w:i/>
              </w:rPr>
            </w:pPr>
            <w:r w:rsidRPr="00CD370F">
              <w:rPr>
                <w:b/>
                <w:bCs/>
                <w:i/>
              </w:rPr>
              <w:t>Balance of trade in goods and services</w:t>
            </w:r>
          </w:p>
        </w:tc>
        <w:tc>
          <w:tcPr>
            <w:tcW w:w="4569" w:type="dxa"/>
            <w:hideMark/>
          </w:tcPr>
          <w:p w:rsidR="00801F8B" w:rsidRPr="00CD370F" w:rsidRDefault="00CD370F" w:rsidP="00CD370F">
            <w:pPr>
              <w:spacing w:after="200" w:line="276" w:lineRule="auto"/>
              <w:jc w:val="right"/>
              <w:rPr>
                <w:i/>
              </w:rPr>
            </w:pPr>
            <w:r w:rsidRPr="00CD370F">
              <w:rPr>
                <w:bCs/>
                <w:i/>
              </w:rPr>
              <w:t>-38,398</w:t>
            </w:r>
          </w:p>
        </w:tc>
      </w:tr>
      <w:tr w:rsidR="00CD370F" w:rsidRPr="00CD370F" w:rsidTr="00CD370F">
        <w:trPr>
          <w:trHeight w:val="506"/>
        </w:trPr>
        <w:tc>
          <w:tcPr>
            <w:tcW w:w="4569" w:type="dxa"/>
            <w:hideMark/>
          </w:tcPr>
          <w:p w:rsidR="00801F8B" w:rsidRPr="00CD370F" w:rsidRDefault="00CD370F" w:rsidP="00CD370F">
            <w:pPr>
              <w:spacing w:after="200" w:line="276" w:lineRule="auto"/>
              <w:rPr>
                <w:b/>
                <w:i/>
              </w:rPr>
            </w:pPr>
            <w:r w:rsidRPr="00CD370F">
              <w:rPr>
                <w:b/>
                <w:bCs/>
                <w:i/>
              </w:rPr>
              <w:t>Income Balance</w:t>
            </w:r>
          </w:p>
        </w:tc>
        <w:tc>
          <w:tcPr>
            <w:tcW w:w="4569" w:type="dxa"/>
            <w:hideMark/>
          </w:tcPr>
          <w:p w:rsidR="00801F8B" w:rsidRPr="00CD370F" w:rsidRDefault="00CD370F" w:rsidP="00CD370F">
            <w:pPr>
              <w:spacing w:after="200" w:line="276" w:lineRule="auto"/>
              <w:jc w:val="right"/>
              <w:rPr>
                <w:i/>
              </w:rPr>
            </w:pPr>
            <w:r w:rsidRPr="00CD370F">
              <w:rPr>
                <w:bCs/>
                <w:i/>
              </w:rPr>
              <w:t>26,940</w:t>
            </w:r>
          </w:p>
        </w:tc>
      </w:tr>
      <w:tr w:rsidR="00CD370F" w:rsidRPr="00CD370F" w:rsidTr="00CD370F">
        <w:trPr>
          <w:trHeight w:val="506"/>
        </w:trPr>
        <w:tc>
          <w:tcPr>
            <w:tcW w:w="4569" w:type="dxa"/>
            <w:hideMark/>
          </w:tcPr>
          <w:p w:rsidR="00801F8B" w:rsidRPr="00CD370F" w:rsidRDefault="00CD370F" w:rsidP="00CD370F">
            <w:pPr>
              <w:spacing w:after="200" w:line="276" w:lineRule="auto"/>
              <w:rPr>
                <w:b/>
                <w:i/>
              </w:rPr>
            </w:pPr>
            <w:r w:rsidRPr="00CD370F">
              <w:rPr>
                <w:b/>
                <w:bCs/>
                <w:i/>
              </w:rPr>
              <w:t>Net Transfers</w:t>
            </w:r>
          </w:p>
        </w:tc>
        <w:tc>
          <w:tcPr>
            <w:tcW w:w="4569" w:type="dxa"/>
            <w:hideMark/>
          </w:tcPr>
          <w:p w:rsidR="00801F8B" w:rsidRPr="00CD370F" w:rsidRDefault="00CD370F" w:rsidP="00CD370F">
            <w:pPr>
              <w:spacing w:after="200" w:line="276" w:lineRule="auto"/>
              <w:jc w:val="right"/>
              <w:rPr>
                <w:i/>
              </w:rPr>
            </w:pPr>
            <w:r w:rsidRPr="00CD370F">
              <w:rPr>
                <w:bCs/>
                <w:i/>
              </w:rPr>
              <w:t>-13,610</w:t>
            </w:r>
          </w:p>
        </w:tc>
      </w:tr>
    </w:tbl>
    <w:p w:rsidR="00CD370F" w:rsidRPr="00CD370F" w:rsidRDefault="00CD370F" w:rsidP="00CD370F">
      <w:pPr>
        <w:rPr>
          <w:b/>
          <w:i/>
        </w:rPr>
      </w:pPr>
    </w:p>
    <w:p w:rsidR="00CD370F" w:rsidRDefault="00CD370F" w:rsidP="00CD370F">
      <w:pPr>
        <w:rPr>
          <w:b/>
          <w:u w:val="single"/>
        </w:rPr>
      </w:pPr>
      <w:r>
        <w:rPr>
          <w:b/>
          <w:u w:val="single"/>
        </w:rPr>
        <w:t>Top 10 Export Destinations</w:t>
      </w:r>
      <w:r w:rsidR="00BD3BE3">
        <w:rPr>
          <w:b/>
          <w:u w:val="single"/>
        </w:rPr>
        <w:t xml:space="preserve"> 2008</w:t>
      </w:r>
    </w:p>
    <w:p w:rsidR="00CD370F" w:rsidRDefault="00CD370F" w:rsidP="00CD370F">
      <w:pPr>
        <w:rPr>
          <w:b/>
          <w:u w:val="single"/>
        </w:rPr>
      </w:pPr>
      <w:r>
        <w:rPr>
          <w:noProof/>
          <w:lang w:eastAsia="en-GB"/>
        </w:rPr>
        <w:drawing>
          <wp:inline distT="0" distB="0" distL="0" distR="0" wp14:anchorId="0C477E12" wp14:editId="25C67494">
            <wp:extent cx="5731510" cy="3382603"/>
            <wp:effectExtent l="0" t="0" r="21590"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D3BE3" w:rsidRDefault="00BD3BE3" w:rsidP="00CD370F">
      <w:pPr>
        <w:rPr>
          <w:b/>
          <w:u w:val="single"/>
        </w:rPr>
      </w:pPr>
    </w:p>
    <w:p w:rsidR="00BD3BE3" w:rsidRDefault="00BD3BE3" w:rsidP="00CD370F">
      <w:pPr>
        <w:rPr>
          <w:b/>
          <w:u w:val="single"/>
        </w:rPr>
      </w:pPr>
    </w:p>
    <w:p w:rsidR="00BD3BE3" w:rsidRDefault="00BD3BE3" w:rsidP="00CD370F">
      <w:pPr>
        <w:rPr>
          <w:b/>
          <w:u w:val="single"/>
        </w:rPr>
      </w:pPr>
      <w:r>
        <w:rPr>
          <w:b/>
          <w:u w:val="single"/>
        </w:rPr>
        <w:lastRenderedPageBreak/>
        <w:t>Top 10 UK Import Sources 2008</w:t>
      </w:r>
    </w:p>
    <w:p w:rsidR="00BD3BE3" w:rsidRDefault="00BD3BE3" w:rsidP="00CD370F">
      <w:pPr>
        <w:rPr>
          <w:b/>
          <w:u w:val="single"/>
        </w:rPr>
      </w:pPr>
      <w:r>
        <w:rPr>
          <w:noProof/>
          <w:lang w:eastAsia="en-GB"/>
        </w:rPr>
        <w:drawing>
          <wp:inline distT="0" distB="0" distL="0" distR="0" wp14:anchorId="591F2A6A" wp14:editId="4A772DA0">
            <wp:extent cx="5731510" cy="3732217"/>
            <wp:effectExtent l="0" t="0" r="21590" b="209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D3BE3" w:rsidRDefault="00BD3BE3" w:rsidP="00CD370F">
      <w:pPr>
        <w:rPr>
          <w:b/>
          <w:u w:val="single"/>
        </w:rPr>
      </w:pPr>
      <w:r>
        <w:rPr>
          <w:b/>
          <w:u w:val="single"/>
        </w:rPr>
        <w:t xml:space="preserve">Top 10 UK Exports </w:t>
      </w:r>
      <w:proofErr w:type="gramStart"/>
      <w:r>
        <w:rPr>
          <w:b/>
          <w:u w:val="single"/>
        </w:rPr>
        <w:t>By</w:t>
      </w:r>
      <w:proofErr w:type="gramEnd"/>
      <w:r>
        <w:rPr>
          <w:b/>
          <w:u w:val="single"/>
        </w:rPr>
        <w:t xml:space="preserve"> Commodity 2008 (£m)</w:t>
      </w:r>
    </w:p>
    <w:p w:rsidR="00BD3BE3" w:rsidRDefault="00BD3BE3" w:rsidP="00CD370F">
      <w:pPr>
        <w:rPr>
          <w:b/>
          <w:u w:val="single"/>
        </w:rPr>
      </w:pPr>
      <w:r>
        <w:rPr>
          <w:noProof/>
          <w:lang w:eastAsia="en-GB"/>
        </w:rPr>
        <w:drawing>
          <wp:inline distT="0" distB="0" distL="0" distR="0" wp14:anchorId="7B1F0381" wp14:editId="0A9092C7">
            <wp:extent cx="5947576" cy="3204376"/>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10124" w:rsidRDefault="00010124" w:rsidP="00CD370F">
      <w:pPr>
        <w:rPr>
          <w:b/>
          <w:u w:val="single"/>
        </w:rPr>
      </w:pPr>
    </w:p>
    <w:p w:rsidR="00010124" w:rsidRDefault="00010124" w:rsidP="00CD370F">
      <w:pPr>
        <w:rPr>
          <w:b/>
          <w:u w:val="single"/>
        </w:rPr>
      </w:pPr>
    </w:p>
    <w:p w:rsidR="00010124" w:rsidRDefault="00010124" w:rsidP="00CD370F">
      <w:pPr>
        <w:rPr>
          <w:b/>
          <w:u w:val="single"/>
        </w:rPr>
      </w:pPr>
    </w:p>
    <w:p w:rsidR="00010124" w:rsidRDefault="00010124" w:rsidP="00CD370F">
      <w:pPr>
        <w:rPr>
          <w:b/>
          <w:u w:val="single"/>
        </w:rPr>
      </w:pPr>
      <w:r>
        <w:rPr>
          <w:b/>
          <w:u w:val="single"/>
        </w:rPr>
        <w:lastRenderedPageBreak/>
        <w:t xml:space="preserve">Top 10 UK Imports </w:t>
      </w:r>
      <w:proofErr w:type="gramStart"/>
      <w:r>
        <w:rPr>
          <w:b/>
          <w:u w:val="single"/>
        </w:rPr>
        <w:t>By</w:t>
      </w:r>
      <w:proofErr w:type="gramEnd"/>
      <w:r>
        <w:rPr>
          <w:b/>
          <w:u w:val="single"/>
        </w:rPr>
        <w:t xml:space="preserve"> Commodity 2008 (£m)</w:t>
      </w:r>
    </w:p>
    <w:p w:rsidR="00BB2CB1" w:rsidRDefault="00BB2CB1" w:rsidP="00CD370F">
      <w:pPr>
        <w:rPr>
          <w:b/>
          <w:u w:val="single"/>
        </w:rPr>
      </w:pPr>
      <w:r w:rsidRPr="00010124">
        <w:rPr>
          <w:b/>
          <w:noProof/>
          <w:u w:val="single"/>
          <w:lang w:eastAsia="en-GB"/>
        </w:rPr>
        <w:drawing>
          <wp:anchor distT="0" distB="0" distL="114300" distR="114300" simplePos="0" relativeHeight="251658240" behindDoc="1" locked="0" layoutInCell="1" allowOverlap="1" wp14:anchorId="40AEE732" wp14:editId="10E82D6D">
            <wp:simplePos x="0" y="0"/>
            <wp:positionH relativeFrom="column">
              <wp:posOffset>0</wp:posOffset>
            </wp:positionH>
            <wp:positionV relativeFrom="paragraph">
              <wp:posOffset>24765</wp:posOffset>
            </wp:positionV>
            <wp:extent cx="5731510" cy="2719705"/>
            <wp:effectExtent l="0" t="0" r="2540" b="4445"/>
            <wp:wrapTight wrapText="bothSides">
              <wp:wrapPolygon edited="0">
                <wp:start x="2943" y="1210"/>
                <wp:lineTo x="144" y="3480"/>
                <wp:lineTo x="144" y="5901"/>
                <wp:lineTo x="1508" y="6354"/>
                <wp:lineTo x="6390" y="6354"/>
                <wp:lineTo x="4379" y="7111"/>
                <wp:lineTo x="4451" y="8321"/>
                <wp:lineTo x="2154" y="8775"/>
                <wp:lineTo x="2010" y="9380"/>
                <wp:lineTo x="2800" y="11196"/>
                <wp:lineTo x="1436" y="12709"/>
                <wp:lineTo x="1508" y="13465"/>
                <wp:lineTo x="3302" y="13617"/>
                <wp:lineTo x="2154" y="14676"/>
                <wp:lineTo x="2154" y="15130"/>
                <wp:lineTo x="3302" y="16037"/>
                <wp:lineTo x="3302" y="21484"/>
                <wp:lineTo x="21538" y="21484"/>
                <wp:lineTo x="21538" y="9683"/>
                <wp:lineTo x="10769" y="8775"/>
                <wp:lineTo x="11200" y="8019"/>
                <wp:lineTo x="11200" y="7111"/>
                <wp:lineTo x="10769" y="6354"/>
                <wp:lineTo x="10912" y="1816"/>
                <wp:lineTo x="10195" y="1513"/>
                <wp:lineTo x="5959" y="1210"/>
                <wp:lineTo x="2943" y="121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BB2CB1" w:rsidRDefault="00BB2CB1" w:rsidP="00CD370F">
      <w:pPr>
        <w:rPr>
          <w:b/>
          <w:u w:val="single"/>
        </w:rPr>
      </w:pPr>
    </w:p>
    <w:p w:rsidR="00BB2CB1" w:rsidRDefault="00BB2CB1" w:rsidP="00CD370F">
      <w:pPr>
        <w:rPr>
          <w:b/>
          <w:u w:val="single"/>
        </w:rPr>
      </w:pPr>
    </w:p>
    <w:p w:rsidR="00010124" w:rsidRDefault="00010124" w:rsidP="00CD370F">
      <w:pPr>
        <w:rPr>
          <w:b/>
          <w:u w:val="single"/>
        </w:rPr>
      </w:pPr>
    </w:p>
    <w:p w:rsidR="00BB2CB1" w:rsidRDefault="00BB2CB1" w:rsidP="00CD370F">
      <w:pPr>
        <w:rPr>
          <w:b/>
          <w:u w:val="single"/>
        </w:rPr>
      </w:pPr>
    </w:p>
    <w:p w:rsidR="00BB2CB1" w:rsidRDefault="00BB2CB1" w:rsidP="00CD370F">
      <w:pPr>
        <w:rPr>
          <w:b/>
          <w:u w:val="single"/>
        </w:rPr>
      </w:pPr>
    </w:p>
    <w:p w:rsidR="00BB2CB1" w:rsidRDefault="00BB2CB1" w:rsidP="00CD370F">
      <w:pPr>
        <w:rPr>
          <w:b/>
          <w:u w:val="single"/>
        </w:rPr>
      </w:pPr>
    </w:p>
    <w:p w:rsidR="00BB2CB1" w:rsidRDefault="00BB2CB1" w:rsidP="00CD370F">
      <w:pPr>
        <w:rPr>
          <w:b/>
          <w:u w:val="single"/>
        </w:rPr>
      </w:pPr>
    </w:p>
    <w:p w:rsidR="00BB2CB1" w:rsidRDefault="00BB2CB1" w:rsidP="00CD370F">
      <w:pPr>
        <w:rPr>
          <w:b/>
          <w:u w:val="single"/>
        </w:rPr>
      </w:pPr>
    </w:p>
    <w:p w:rsidR="00BB2CB1" w:rsidRDefault="00BB2CB1" w:rsidP="00CD370F">
      <w:pPr>
        <w:rPr>
          <w:b/>
          <w:u w:val="single"/>
        </w:rPr>
      </w:pPr>
    </w:p>
    <w:p w:rsidR="00BB2CB1" w:rsidRDefault="00BB2CB1" w:rsidP="00CD370F">
      <w:pPr>
        <w:rPr>
          <w:b/>
          <w:u w:val="single"/>
        </w:rPr>
      </w:pPr>
      <w:r>
        <w:rPr>
          <w:b/>
          <w:u w:val="single"/>
        </w:rPr>
        <w:t>Current Account Balance 2010 – ONS Pink Book</w:t>
      </w:r>
    </w:p>
    <w:p w:rsidR="00BB2CB1" w:rsidRDefault="00BB2CB1" w:rsidP="00CD370F">
      <w:pPr>
        <w:rPr>
          <w:b/>
          <w:u w:val="single"/>
        </w:rPr>
      </w:pPr>
      <w:r>
        <w:rPr>
          <w:noProof/>
          <w:lang w:eastAsia="en-GB"/>
        </w:rPr>
        <w:drawing>
          <wp:inline distT="0" distB="0" distL="0" distR="0" wp14:anchorId="491B0523" wp14:editId="33E4E17E">
            <wp:extent cx="5486400" cy="3743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743325"/>
                    </a:xfrm>
                    <a:prstGeom prst="rect">
                      <a:avLst/>
                    </a:prstGeom>
                  </pic:spPr>
                </pic:pic>
              </a:graphicData>
            </a:graphic>
          </wp:inline>
        </w:drawing>
      </w:r>
    </w:p>
    <w:p w:rsidR="005E70B5" w:rsidRDefault="005E70B5" w:rsidP="00CD370F">
      <w:pPr>
        <w:rPr>
          <w:b/>
          <w:u w:val="single"/>
        </w:rPr>
      </w:pPr>
    </w:p>
    <w:p w:rsidR="005E70B5" w:rsidRDefault="005E70B5" w:rsidP="00CD370F">
      <w:pPr>
        <w:rPr>
          <w:b/>
          <w:u w:val="single"/>
        </w:rPr>
      </w:pPr>
    </w:p>
    <w:p w:rsidR="005E70B5" w:rsidRDefault="005E70B5" w:rsidP="00CD370F">
      <w:pPr>
        <w:rPr>
          <w:b/>
          <w:u w:val="single"/>
        </w:rPr>
      </w:pPr>
    </w:p>
    <w:p w:rsidR="005E70B5" w:rsidRDefault="005E70B5" w:rsidP="00CD370F">
      <w:pPr>
        <w:rPr>
          <w:b/>
          <w:u w:val="single"/>
        </w:rPr>
      </w:pPr>
      <w:r>
        <w:rPr>
          <w:b/>
          <w:u w:val="single"/>
        </w:rPr>
        <w:lastRenderedPageBreak/>
        <w:t>Trade in Goods and Services 2010</w:t>
      </w:r>
      <w:r w:rsidR="00C41A36">
        <w:rPr>
          <w:b/>
          <w:u w:val="single"/>
        </w:rPr>
        <w:t xml:space="preserve"> – ONS Pink Book 2010</w:t>
      </w:r>
    </w:p>
    <w:p w:rsidR="00C41A36" w:rsidRDefault="00C41A36" w:rsidP="00CD370F">
      <w:pPr>
        <w:rPr>
          <w:b/>
          <w:u w:val="single"/>
        </w:rPr>
      </w:pPr>
      <w:r>
        <w:rPr>
          <w:noProof/>
          <w:lang w:eastAsia="en-GB"/>
        </w:rPr>
        <w:drawing>
          <wp:anchor distT="0" distB="0" distL="114300" distR="114300" simplePos="0" relativeHeight="251659264" behindDoc="1" locked="0" layoutInCell="1" allowOverlap="1" wp14:anchorId="5AC55FAD" wp14:editId="60F46017">
            <wp:simplePos x="0" y="0"/>
            <wp:positionH relativeFrom="column">
              <wp:posOffset>5080</wp:posOffset>
            </wp:positionH>
            <wp:positionV relativeFrom="paragraph">
              <wp:posOffset>89535</wp:posOffset>
            </wp:positionV>
            <wp:extent cx="5467350" cy="3762375"/>
            <wp:effectExtent l="0" t="0" r="0" b="9525"/>
            <wp:wrapTight wrapText="bothSides">
              <wp:wrapPolygon edited="0">
                <wp:start x="0" y="0"/>
                <wp:lineTo x="0" y="21545"/>
                <wp:lineTo x="21525" y="21545"/>
                <wp:lineTo x="215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467350" cy="3762375"/>
                    </a:xfrm>
                    <a:prstGeom prst="rect">
                      <a:avLst/>
                    </a:prstGeom>
                  </pic:spPr>
                </pic:pic>
              </a:graphicData>
            </a:graphic>
            <wp14:sizeRelH relativeFrom="page">
              <wp14:pctWidth>0</wp14:pctWidth>
            </wp14:sizeRelH>
            <wp14:sizeRelV relativeFrom="page">
              <wp14:pctHeight>0</wp14:pctHeight>
            </wp14:sizeRelV>
          </wp:anchor>
        </w:drawing>
      </w:r>
    </w:p>
    <w:p w:rsidR="005E70B5" w:rsidRDefault="005E70B5" w:rsidP="00CD370F">
      <w:pPr>
        <w:rPr>
          <w:b/>
          <w:u w:val="single"/>
        </w:rPr>
      </w:pPr>
    </w:p>
    <w:p w:rsidR="00C41A36" w:rsidRDefault="00C41A36" w:rsidP="00CD370F">
      <w:pPr>
        <w:rPr>
          <w:b/>
          <w:u w:val="single"/>
        </w:rPr>
      </w:pPr>
    </w:p>
    <w:p w:rsidR="00C41A36" w:rsidRDefault="00C41A36" w:rsidP="00CD370F">
      <w:pPr>
        <w:rPr>
          <w:b/>
          <w:u w:val="single"/>
        </w:rPr>
      </w:pPr>
    </w:p>
    <w:p w:rsidR="00C41A36" w:rsidRDefault="00C41A36" w:rsidP="00CD370F">
      <w:pPr>
        <w:rPr>
          <w:b/>
          <w:u w:val="single"/>
        </w:rPr>
      </w:pPr>
    </w:p>
    <w:p w:rsidR="00C41A36" w:rsidRDefault="00C41A36" w:rsidP="00CD370F">
      <w:pPr>
        <w:rPr>
          <w:b/>
          <w:u w:val="single"/>
        </w:rPr>
      </w:pPr>
    </w:p>
    <w:p w:rsidR="00C41A36" w:rsidRDefault="00C41A36" w:rsidP="00CD370F">
      <w:pPr>
        <w:rPr>
          <w:b/>
          <w:u w:val="single"/>
        </w:rPr>
      </w:pPr>
    </w:p>
    <w:p w:rsidR="00C41A36" w:rsidRDefault="00C41A36" w:rsidP="00CD370F">
      <w:pPr>
        <w:rPr>
          <w:b/>
          <w:u w:val="single"/>
        </w:rPr>
      </w:pPr>
    </w:p>
    <w:p w:rsidR="00C41A36" w:rsidRDefault="00C41A36" w:rsidP="00CD370F">
      <w:pPr>
        <w:rPr>
          <w:b/>
          <w:u w:val="single"/>
        </w:rPr>
      </w:pPr>
    </w:p>
    <w:p w:rsidR="00C41A36" w:rsidRDefault="00C41A36" w:rsidP="00CD370F">
      <w:pPr>
        <w:rPr>
          <w:b/>
          <w:u w:val="single"/>
        </w:rPr>
      </w:pPr>
    </w:p>
    <w:p w:rsidR="00C41A36" w:rsidRDefault="00C41A36" w:rsidP="00CD370F">
      <w:pPr>
        <w:rPr>
          <w:b/>
          <w:u w:val="single"/>
        </w:rPr>
      </w:pPr>
    </w:p>
    <w:p w:rsidR="00C41A36" w:rsidRDefault="00C41A36" w:rsidP="00CD370F">
      <w:pPr>
        <w:rPr>
          <w:b/>
          <w:u w:val="single"/>
        </w:rPr>
      </w:pPr>
    </w:p>
    <w:p w:rsidR="00C41A36" w:rsidRDefault="00C41A36" w:rsidP="00CD370F">
      <w:pPr>
        <w:rPr>
          <w:b/>
          <w:u w:val="single"/>
        </w:rPr>
      </w:pPr>
    </w:p>
    <w:p w:rsidR="00C41A36" w:rsidRDefault="00C41A36" w:rsidP="00CD370F">
      <w:pPr>
        <w:rPr>
          <w:b/>
          <w:u w:val="single"/>
        </w:rPr>
      </w:pPr>
    </w:p>
    <w:p w:rsidR="00C41A36" w:rsidRDefault="00C41A36" w:rsidP="00CD370F">
      <w:pPr>
        <w:rPr>
          <w:b/>
          <w:u w:val="single"/>
        </w:rPr>
      </w:pPr>
    </w:p>
    <w:p w:rsidR="00C41A36" w:rsidRDefault="00C41A36" w:rsidP="00CD370F">
      <w:pPr>
        <w:rPr>
          <w:b/>
          <w:u w:val="single"/>
        </w:rPr>
      </w:pPr>
    </w:p>
    <w:p w:rsidR="00C41A36" w:rsidRDefault="00C41A36" w:rsidP="00CD370F">
      <w:pPr>
        <w:rPr>
          <w:b/>
          <w:u w:val="single"/>
        </w:rPr>
      </w:pPr>
    </w:p>
    <w:p w:rsidR="00C41A36" w:rsidRDefault="00C41A36" w:rsidP="00CD370F">
      <w:pPr>
        <w:rPr>
          <w:b/>
          <w:u w:val="single"/>
        </w:rPr>
      </w:pPr>
    </w:p>
    <w:p w:rsidR="00C41A36" w:rsidRDefault="00C41A36" w:rsidP="00CD370F">
      <w:pPr>
        <w:rPr>
          <w:b/>
          <w:u w:val="single"/>
        </w:rPr>
      </w:pPr>
    </w:p>
    <w:p w:rsidR="00C41A36" w:rsidRDefault="00C41A36" w:rsidP="00CD370F">
      <w:pPr>
        <w:rPr>
          <w:b/>
          <w:u w:val="single"/>
        </w:rPr>
      </w:pPr>
    </w:p>
    <w:p w:rsidR="00C41A36" w:rsidRDefault="00C41A36" w:rsidP="00CD370F">
      <w:pPr>
        <w:rPr>
          <w:b/>
          <w:u w:val="single"/>
        </w:rPr>
      </w:pPr>
    </w:p>
    <w:p w:rsidR="00C41A36" w:rsidRDefault="00C41A36" w:rsidP="00CD370F">
      <w:pPr>
        <w:rPr>
          <w:b/>
          <w:u w:val="single"/>
        </w:rPr>
      </w:pPr>
    </w:p>
    <w:p w:rsidR="00C41A36" w:rsidRDefault="00C41A36" w:rsidP="00CD370F">
      <w:pPr>
        <w:rPr>
          <w:b/>
          <w:u w:val="single"/>
        </w:rPr>
      </w:pPr>
    </w:p>
    <w:p w:rsidR="00C41A36" w:rsidRDefault="00C41A36" w:rsidP="00CD370F">
      <w:pPr>
        <w:rPr>
          <w:b/>
          <w:u w:val="single"/>
        </w:rPr>
      </w:pPr>
    </w:p>
    <w:p w:rsidR="00C41A36" w:rsidRDefault="00C41A36" w:rsidP="00CD370F">
      <w:pPr>
        <w:rPr>
          <w:b/>
          <w:u w:val="single"/>
        </w:rPr>
      </w:pPr>
    </w:p>
    <w:p w:rsidR="00C41A36" w:rsidRDefault="00C41A36" w:rsidP="00CD370F">
      <w:pPr>
        <w:rPr>
          <w:b/>
          <w:u w:val="single"/>
        </w:rPr>
      </w:pPr>
    </w:p>
    <w:p w:rsidR="00C41A36" w:rsidRDefault="00C41A36" w:rsidP="00CD370F">
      <w:pPr>
        <w:rPr>
          <w:b/>
          <w:u w:val="single"/>
        </w:rPr>
      </w:pPr>
      <w:r>
        <w:rPr>
          <w:b/>
          <w:u w:val="single"/>
        </w:rPr>
        <w:lastRenderedPageBreak/>
        <w:t xml:space="preserve">Analysis: The Current Account Balance </w:t>
      </w:r>
    </w:p>
    <w:p w:rsidR="00386405" w:rsidRDefault="00386405" w:rsidP="00CD370F">
      <w:pPr>
        <w:rPr>
          <w:b/>
          <w:u w:val="single"/>
        </w:rPr>
      </w:pPr>
    </w:p>
    <w:p w:rsidR="00386405" w:rsidRDefault="00386405" w:rsidP="00CD370F">
      <w:pPr>
        <w:rPr>
          <w:b/>
          <w:u w:val="single"/>
        </w:rPr>
      </w:pPr>
    </w:p>
    <w:p w:rsidR="00386405" w:rsidRDefault="00386405" w:rsidP="00CD370F">
      <w:pPr>
        <w:rPr>
          <w:b/>
          <w:u w:val="single"/>
        </w:rPr>
      </w:pPr>
    </w:p>
    <w:p w:rsidR="00386405" w:rsidRDefault="00386405" w:rsidP="00CD370F">
      <w:pPr>
        <w:rPr>
          <w:b/>
          <w:u w:val="single"/>
        </w:rPr>
      </w:pPr>
    </w:p>
    <w:p w:rsidR="00386405" w:rsidRDefault="00386405" w:rsidP="00CD370F">
      <w:pPr>
        <w:rPr>
          <w:b/>
          <w:u w:val="single"/>
        </w:rPr>
      </w:pPr>
    </w:p>
    <w:p w:rsidR="00386405" w:rsidRDefault="00386405" w:rsidP="00CD370F">
      <w:pPr>
        <w:rPr>
          <w:b/>
          <w:u w:val="single"/>
        </w:rPr>
      </w:pPr>
    </w:p>
    <w:p w:rsidR="00386405" w:rsidRDefault="00386405" w:rsidP="00CD370F">
      <w:pPr>
        <w:rPr>
          <w:b/>
          <w:u w:val="single"/>
        </w:rPr>
      </w:pPr>
    </w:p>
    <w:p w:rsidR="00386405" w:rsidRDefault="00386405" w:rsidP="00CD370F">
      <w:pPr>
        <w:rPr>
          <w:b/>
          <w:u w:val="single"/>
        </w:rPr>
      </w:pPr>
    </w:p>
    <w:p w:rsidR="00386405" w:rsidRDefault="00386405" w:rsidP="00CD370F">
      <w:pPr>
        <w:rPr>
          <w:b/>
          <w:u w:val="single"/>
        </w:rPr>
      </w:pPr>
    </w:p>
    <w:p w:rsidR="00386405" w:rsidRDefault="00386405" w:rsidP="00CD370F">
      <w:pPr>
        <w:rPr>
          <w:b/>
          <w:u w:val="single"/>
        </w:rPr>
      </w:pPr>
    </w:p>
    <w:p w:rsidR="00386405" w:rsidRDefault="00386405" w:rsidP="00CD370F">
      <w:pPr>
        <w:rPr>
          <w:b/>
          <w:u w:val="single"/>
        </w:rPr>
      </w:pPr>
    </w:p>
    <w:p w:rsidR="00386405" w:rsidRDefault="00386405" w:rsidP="00CD370F">
      <w:pPr>
        <w:rPr>
          <w:b/>
          <w:u w:val="single"/>
        </w:rPr>
      </w:pPr>
    </w:p>
    <w:p w:rsidR="00386405" w:rsidRDefault="00386405" w:rsidP="00CD370F">
      <w:pPr>
        <w:rPr>
          <w:b/>
          <w:u w:val="single"/>
        </w:rPr>
      </w:pPr>
    </w:p>
    <w:p w:rsidR="00386405" w:rsidRDefault="00386405" w:rsidP="00CD370F">
      <w:pPr>
        <w:rPr>
          <w:b/>
          <w:u w:val="single"/>
        </w:rPr>
      </w:pPr>
    </w:p>
    <w:p w:rsidR="00386405" w:rsidRDefault="00386405" w:rsidP="00CD370F">
      <w:pPr>
        <w:rPr>
          <w:b/>
          <w:u w:val="single"/>
        </w:rPr>
      </w:pPr>
    </w:p>
    <w:p w:rsidR="00386405" w:rsidRDefault="00386405" w:rsidP="00CD370F">
      <w:pPr>
        <w:rPr>
          <w:b/>
          <w:u w:val="single"/>
        </w:rPr>
      </w:pPr>
    </w:p>
    <w:p w:rsidR="00386405" w:rsidRDefault="00386405" w:rsidP="00CD370F">
      <w:pPr>
        <w:rPr>
          <w:b/>
          <w:u w:val="single"/>
        </w:rPr>
      </w:pPr>
    </w:p>
    <w:p w:rsidR="00386405" w:rsidRDefault="00386405" w:rsidP="00CD370F">
      <w:pPr>
        <w:rPr>
          <w:b/>
          <w:u w:val="single"/>
        </w:rPr>
      </w:pPr>
    </w:p>
    <w:p w:rsidR="00386405" w:rsidRDefault="00386405" w:rsidP="00CD370F">
      <w:pPr>
        <w:rPr>
          <w:b/>
          <w:u w:val="single"/>
        </w:rPr>
      </w:pPr>
    </w:p>
    <w:p w:rsidR="00386405" w:rsidRDefault="00386405" w:rsidP="00CD370F">
      <w:pPr>
        <w:rPr>
          <w:b/>
          <w:u w:val="single"/>
        </w:rPr>
      </w:pPr>
    </w:p>
    <w:p w:rsidR="00386405" w:rsidRDefault="00386405" w:rsidP="00CD370F">
      <w:pPr>
        <w:rPr>
          <w:b/>
          <w:u w:val="single"/>
        </w:rPr>
      </w:pPr>
    </w:p>
    <w:p w:rsidR="00386405" w:rsidRDefault="00386405" w:rsidP="00CD370F">
      <w:pPr>
        <w:rPr>
          <w:b/>
          <w:u w:val="single"/>
        </w:rPr>
      </w:pPr>
    </w:p>
    <w:p w:rsidR="00386405" w:rsidRDefault="00386405" w:rsidP="00CD370F">
      <w:pPr>
        <w:rPr>
          <w:b/>
          <w:u w:val="single"/>
        </w:rPr>
      </w:pPr>
    </w:p>
    <w:p w:rsidR="00386405" w:rsidRDefault="00386405" w:rsidP="00CD370F">
      <w:pPr>
        <w:rPr>
          <w:b/>
          <w:u w:val="single"/>
        </w:rPr>
      </w:pPr>
    </w:p>
    <w:p w:rsidR="00386405" w:rsidRDefault="00386405" w:rsidP="00CD370F">
      <w:pPr>
        <w:rPr>
          <w:b/>
          <w:u w:val="single"/>
        </w:rPr>
      </w:pPr>
    </w:p>
    <w:p w:rsidR="00386405" w:rsidRDefault="00386405" w:rsidP="00CD370F">
      <w:pPr>
        <w:rPr>
          <w:b/>
          <w:u w:val="single"/>
        </w:rPr>
      </w:pPr>
    </w:p>
    <w:p w:rsidR="00386405" w:rsidRDefault="00386405" w:rsidP="00CD370F">
      <w:pPr>
        <w:rPr>
          <w:b/>
          <w:u w:val="single"/>
        </w:rPr>
      </w:pPr>
      <w:r>
        <w:rPr>
          <w:b/>
          <w:u w:val="single"/>
        </w:rPr>
        <w:lastRenderedPageBreak/>
        <w:t>Article: Does the current account deficit matter?</w:t>
      </w:r>
    </w:p>
    <w:p w:rsidR="006E5C3F" w:rsidRPr="009D5DEC" w:rsidRDefault="009D5DEC" w:rsidP="00CD370F">
      <w:r>
        <w:rPr>
          <w:rFonts w:ascii="Arial" w:hAnsi="Arial" w:cs="Arial"/>
          <w:noProof/>
          <w:sz w:val="20"/>
          <w:szCs w:val="20"/>
          <w:lang w:eastAsia="en-GB"/>
        </w:rPr>
        <w:drawing>
          <wp:anchor distT="0" distB="0" distL="114300" distR="114300" simplePos="0" relativeHeight="251660288" behindDoc="1" locked="0" layoutInCell="1" allowOverlap="1" wp14:anchorId="4C0C184A" wp14:editId="070CBD8E">
            <wp:simplePos x="0" y="0"/>
            <wp:positionH relativeFrom="column">
              <wp:posOffset>-55880</wp:posOffset>
            </wp:positionH>
            <wp:positionV relativeFrom="paragraph">
              <wp:posOffset>176530</wp:posOffset>
            </wp:positionV>
            <wp:extent cx="2377440" cy="2822575"/>
            <wp:effectExtent l="0" t="0" r="3810" b="0"/>
            <wp:wrapTight wrapText="bothSides">
              <wp:wrapPolygon edited="0">
                <wp:start x="0" y="0"/>
                <wp:lineTo x="0" y="21430"/>
                <wp:lineTo x="21462" y="21430"/>
                <wp:lineTo x="21462" y="0"/>
                <wp:lineTo x="0" y="0"/>
              </wp:wrapPolygon>
            </wp:wrapTight>
            <wp:docPr id="7" name="Picture 7" descr="http://cdn.chillnite.com/wp-content/uploads/2007/09/blowing-money-p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chillnite.com/wp-content/uploads/2007/09/blowing-money-pi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282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DFF" w:rsidRPr="009D5DEC">
        <w:t xml:space="preserve">At first glance the deterioration in the current account balance looks like cause for concern as the government is continually failing to the one of </w:t>
      </w:r>
      <w:proofErr w:type="spellStart"/>
      <w:proofErr w:type="gramStart"/>
      <w:r w:rsidR="00E35DFF" w:rsidRPr="009D5DEC">
        <w:t>it’s</w:t>
      </w:r>
      <w:proofErr w:type="spellEnd"/>
      <w:proofErr w:type="gramEnd"/>
      <w:r w:rsidR="00E35DFF" w:rsidRPr="009D5DEC">
        <w:t xml:space="preserve"> macroeconomic objectives. In the same way </w:t>
      </w:r>
      <w:r w:rsidR="00BC61AE" w:rsidRPr="009D5DEC">
        <w:t>that</w:t>
      </w:r>
      <w:r w:rsidR="00E35DFF" w:rsidRPr="009D5DEC">
        <w:t xml:space="preserve"> an individual can</w:t>
      </w:r>
      <w:r w:rsidR="00BC61AE" w:rsidRPr="009D5DEC">
        <w:t>not</w:t>
      </w:r>
      <w:r w:rsidR="00E35DFF" w:rsidRPr="009D5DEC">
        <w:t xml:space="preserve"> spend more than she </w:t>
      </w:r>
      <w:r w:rsidR="00BC61AE" w:rsidRPr="009D5DEC">
        <w:t>earns</w:t>
      </w:r>
      <w:r w:rsidR="00E35DFF" w:rsidRPr="009D5DEC">
        <w:t xml:space="preserve"> unless </w:t>
      </w:r>
      <w:r w:rsidR="00BC61AE" w:rsidRPr="009D5DEC">
        <w:t xml:space="preserve">she runs down her savings </w:t>
      </w:r>
      <w:r w:rsidR="00E35DFF" w:rsidRPr="009D5DEC">
        <w:t>or bor</w:t>
      </w:r>
      <w:r w:rsidR="00BC61AE" w:rsidRPr="009D5DEC">
        <w:t>r</w:t>
      </w:r>
      <w:r w:rsidR="00E35DFF" w:rsidRPr="009D5DEC">
        <w:t>o</w:t>
      </w:r>
      <w:r w:rsidR="00BC61AE" w:rsidRPr="009D5DEC">
        <w:t>w</w:t>
      </w:r>
      <w:r w:rsidR="00E35DFF" w:rsidRPr="009D5DEC">
        <w:t>s the economy</w:t>
      </w:r>
      <w:r w:rsidR="00BC61AE" w:rsidRPr="009D5DEC">
        <w:t xml:space="preserve"> cannot do the same without </w:t>
      </w:r>
      <w:r w:rsidR="00E35DFF" w:rsidRPr="009D5DEC">
        <w:t>bo</w:t>
      </w:r>
      <w:r w:rsidR="00BC61AE" w:rsidRPr="009D5DEC">
        <w:t>rrowing</w:t>
      </w:r>
      <w:r w:rsidR="00E35DFF" w:rsidRPr="009D5DEC">
        <w:t xml:space="preserve"> from abroad or reducing its savings and investments </w:t>
      </w:r>
      <w:proofErr w:type="gramStart"/>
      <w:r w:rsidR="00E35DFF" w:rsidRPr="009D5DEC">
        <w:t>abroad</w:t>
      </w:r>
      <w:r w:rsidR="00BC61AE" w:rsidRPr="009D5DEC">
        <w:t>.</w:t>
      </w:r>
      <w:proofErr w:type="gramEnd"/>
      <w:r w:rsidR="00BC61AE" w:rsidRPr="009D5DEC">
        <w:t xml:space="preserve"> H</w:t>
      </w:r>
      <w:r w:rsidR="00E35DFF" w:rsidRPr="009D5DEC">
        <w:t>owever</w:t>
      </w:r>
      <w:r w:rsidR="00BC61AE" w:rsidRPr="009D5DEC">
        <w:t>,</w:t>
      </w:r>
      <w:r w:rsidR="00E35DFF" w:rsidRPr="009D5DEC">
        <w:t xml:space="preserve"> the fact that the city of London has attracted such high levels of foreign direct investment has meant that the</w:t>
      </w:r>
      <w:r w:rsidR="00BC61AE" w:rsidRPr="009D5DEC">
        <w:t>re</w:t>
      </w:r>
      <w:r w:rsidR="00E35DFF" w:rsidRPr="009D5DEC">
        <w:t xml:space="preserve"> ha</w:t>
      </w:r>
      <w:r w:rsidR="00BC61AE" w:rsidRPr="009D5DEC">
        <w:t>s</w:t>
      </w:r>
      <w:r w:rsidR="00E35DFF" w:rsidRPr="009D5DEC">
        <w:t xml:space="preserve"> been sufficient Financial Capital flowing into the UK economy to pay for the deficit</w:t>
      </w:r>
      <w:r w:rsidR="00BC61AE" w:rsidRPr="009D5DEC">
        <w:t>. As long as this continues to occur,</w:t>
      </w:r>
      <w:r w:rsidR="00E35DFF" w:rsidRPr="009D5DEC">
        <w:t xml:space="preserve"> there is no reason why the UK </w:t>
      </w:r>
      <w:r w:rsidR="00BC61AE" w:rsidRPr="009D5DEC">
        <w:t>cannot afford</w:t>
      </w:r>
      <w:r w:rsidR="00E35DFF" w:rsidRPr="009D5DEC">
        <w:t xml:space="preserve"> </w:t>
      </w:r>
      <w:proofErr w:type="gramStart"/>
      <w:r w:rsidR="00E35DFF" w:rsidRPr="009D5DEC">
        <w:t>it</w:t>
      </w:r>
      <w:r w:rsidR="00BC61AE" w:rsidRPr="009D5DEC">
        <w:t>’</w:t>
      </w:r>
      <w:r w:rsidR="00E35DFF" w:rsidRPr="009D5DEC">
        <w:t>s</w:t>
      </w:r>
      <w:proofErr w:type="gramEnd"/>
      <w:r w:rsidR="00E35DFF" w:rsidRPr="009D5DEC">
        <w:t xml:space="preserve"> trade deficit.  That sa</w:t>
      </w:r>
      <w:r w:rsidR="00BC61AE" w:rsidRPr="009D5DEC">
        <w:t>id, trends</w:t>
      </w:r>
      <w:r w:rsidR="00E35DFF" w:rsidRPr="009D5DEC">
        <w:t xml:space="preserve"> in global financial markets can</w:t>
      </w:r>
      <w:r w:rsidR="00BC61AE" w:rsidRPr="009D5DEC">
        <w:t xml:space="preserve"> be volatile</w:t>
      </w:r>
      <w:r w:rsidR="00E35DFF" w:rsidRPr="009D5DEC">
        <w:t xml:space="preserve"> </w:t>
      </w:r>
      <w:r w:rsidR="00BC61AE" w:rsidRPr="009D5DEC">
        <w:t xml:space="preserve">and it may be unwise to rely on </w:t>
      </w:r>
      <w:r w:rsidR="00E35DFF" w:rsidRPr="009D5DEC">
        <w:t xml:space="preserve">the city of London continuing to </w:t>
      </w:r>
      <w:r w:rsidR="00BC61AE" w:rsidRPr="009D5DEC">
        <w:t>be the global financial hub of the world in the long term.</w:t>
      </w:r>
    </w:p>
    <w:p w:rsidR="00BC61AE" w:rsidRPr="009D5DEC" w:rsidRDefault="00BC61AE" w:rsidP="00CD370F">
      <w:r w:rsidRPr="009D5DEC">
        <w:t xml:space="preserve">The other indicator to examine is the current account as a percentage of GDP.  Until recently this proportion was fairly modest, generally fluctuating between one per cent and 3% of GDP and below that of the late 1980s boom, when the deficit reached as high as 5% of GDP.  As long as the country’s generating sufficient income to </w:t>
      </w:r>
      <w:r w:rsidR="009D5DEC" w:rsidRPr="009D5DEC">
        <w:t>be</w:t>
      </w:r>
      <w:r w:rsidRPr="009D5DEC">
        <w:t xml:space="preserve"> able to pay back the accumulated debt, then </w:t>
      </w:r>
      <w:r w:rsidR="009D5DEC" w:rsidRPr="009D5DEC">
        <w:t>the</w:t>
      </w:r>
      <w:r w:rsidRPr="009D5DEC">
        <w:t xml:space="preserve"> account deficit should not pose a problem.  Economists believe that not only when the deficit increases beyond about 5% of GDP that the government should have cause for concern.  The U.S. current account deficit is around 7% of GDP, for example.  Time is also </w:t>
      </w:r>
      <w:proofErr w:type="gramStart"/>
      <w:r w:rsidRPr="009D5DEC">
        <w:t>an</w:t>
      </w:r>
      <w:proofErr w:type="gramEnd"/>
      <w:r w:rsidRPr="009D5DEC">
        <w:t xml:space="preserve"> crucial factor: it is hoped that the UK will not run a large current account deficit indefinitely, but at the moment it appears to be within manageable limits.</w:t>
      </w:r>
    </w:p>
    <w:p w:rsidR="009D5DEC" w:rsidRDefault="009D5DEC" w:rsidP="00CD370F">
      <w:r w:rsidRPr="009D5DEC">
        <w:rPr>
          <w:noProof/>
          <w:lang w:eastAsia="en-GB"/>
        </w:rPr>
        <w:drawing>
          <wp:anchor distT="0" distB="0" distL="114300" distR="114300" simplePos="0" relativeHeight="251661312" behindDoc="1" locked="0" layoutInCell="1" allowOverlap="1" wp14:anchorId="3525DCD3" wp14:editId="0895550F">
            <wp:simplePos x="0" y="0"/>
            <wp:positionH relativeFrom="column">
              <wp:posOffset>3060700</wp:posOffset>
            </wp:positionH>
            <wp:positionV relativeFrom="paragraph">
              <wp:posOffset>1094740</wp:posOffset>
            </wp:positionV>
            <wp:extent cx="3023870" cy="2424430"/>
            <wp:effectExtent l="0" t="0" r="5080" b="0"/>
            <wp:wrapTight wrapText="bothSides">
              <wp:wrapPolygon edited="0">
                <wp:start x="15921" y="5940"/>
                <wp:lineTo x="10750" y="7638"/>
                <wp:lineTo x="5851" y="8826"/>
                <wp:lineTo x="5443" y="9165"/>
                <wp:lineTo x="5307" y="11711"/>
                <wp:lineTo x="2722" y="13238"/>
                <wp:lineTo x="1497" y="14257"/>
                <wp:lineTo x="680" y="16124"/>
                <wp:lineTo x="408" y="16972"/>
                <wp:lineTo x="816" y="17991"/>
                <wp:lineTo x="5171" y="17991"/>
                <wp:lineTo x="8437" y="17142"/>
                <wp:lineTo x="14424" y="14766"/>
                <wp:lineTo x="14696" y="14426"/>
                <wp:lineTo x="20276" y="11711"/>
                <wp:lineTo x="21364" y="9844"/>
                <wp:lineTo x="21500" y="7638"/>
                <wp:lineTo x="20684" y="7128"/>
                <wp:lineTo x="17554" y="5940"/>
                <wp:lineTo x="15921" y="5940"/>
              </wp:wrapPolygon>
            </wp:wrapTight>
            <wp:docPr id="8194" name="Picture 2" descr="http://www.crazy3dsmax.com/uploads/090919/1_1455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http://www.crazy3dsmax.com/uploads/090919/1_145512_1.jpg"/>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0" b="100000" l="0" r="100000">
                                  <a14:backgroundMark x1="20500" y1="25780" x2="20500" y2="25780"/>
                                  <a14:backgroundMark x1="73667" y1="79834" x2="73667" y2="7983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023870" cy="2424430"/>
                    </a:xfrm>
                    <a:prstGeom prst="rect">
                      <a:avLst/>
                    </a:prstGeom>
                    <a:noFill/>
                    <a:extLst/>
                  </pic:spPr>
                </pic:pic>
              </a:graphicData>
            </a:graphic>
            <wp14:sizeRelH relativeFrom="page">
              <wp14:pctWidth>0</wp14:pctWidth>
            </wp14:sizeRelH>
            <wp14:sizeRelV relativeFrom="page">
              <wp14:pctHeight>0</wp14:pctHeight>
            </wp14:sizeRelV>
          </wp:anchor>
        </w:drawing>
      </w:r>
      <w:r w:rsidR="00BC61AE" w:rsidRPr="009D5DEC">
        <w:t>Nonetheless, the record trade in goods deficit does indicate significant structural changes and weaknesses in the UK economy, especially the decline in manufacturing industry in the UK.  It reflects the fact the UK goods are often of poor quality and design and poorly marketed, which is largely down to low investment levels and the UK productivity gap.  It is also a</w:t>
      </w:r>
      <w:r w:rsidRPr="009D5DEC">
        <w:t xml:space="preserve"> </w:t>
      </w:r>
      <w:r w:rsidR="00BC61AE" w:rsidRPr="009D5DEC">
        <w:t>signs th</w:t>
      </w:r>
      <w:r w:rsidRPr="009D5DEC">
        <w:t>at</w:t>
      </w:r>
      <w:r w:rsidR="00BC61AE" w:rsidRPr="009D5DEC">
        <w:t xml:space="preserve"> UK growth in recent years is rather unbalanced, too heavily reliant on consumption,</w:t>
      </w:r>
      <w:r w:rsidRPr="009D5DEC">
        <w:t xml:space="preserve"> which is sucking in imports and not enough on investment and exports.  Whether the collapse in consumer spending in 2008 and 2009 indicates that, in the long awaited rebalancing of UK growth now underway remains to be </w:t>
      </w:r>
      <w:proofErr w:type="spellStart"/>
      <w:r w:rsidRPr="009D5DEC">
        <w:t>seen.The</w:t>
      </w:r>
      <w:proofErr w:type="spellEnd"/>
      <w:r w:rsidRPr="009D5DEC">
        <w:t xml:space="preserve"> trade in goods deficit is a significant problem for the UK given that it is a relatively open economy, with a high percentage of GDP accounted for by imports and exports.  </w:t>
      </w:r>
    </w:p>
    <w:p w:rsidR="009D5DEC" w:rsidRPr="009D5DEC" w:rsidRDefault="009D5DEC" w:rsidP="00CD370F">
      <w:pPr>
        <w:rPr>
          <w:b/>
        </w:rPr>
      </w:pPr>
    </w:p>
    <w:p w:rsidR="00801F8B" w:rsidRPr="009D5DEC" w:rsidRDefault="009D5DEC" w:rsidP="009D5DEC">
      <w:pPr>
        <w:numPr>
          <w:ilvl w:val="0"/>
          <w:numId w:val="1"/>
        </w:numPr>
        <w:rPr>
          <w:b/>
        </w:rPr>
      </w:pPr>
      <w:r w:rsidRPr="009D5DEC">
        <w:rPr>
          <w:b/>
        </w:rPr>
        <w:t>What does the current account deficit mean for the UK economy? Does it matter?</w:t>
      </w:r>
    </w:p>
    <w:p w:rsidR="009D5DEC" w:rsidRDefault="009D5DEC" w:rsidP="00CD370F"/>
    <w:p w:rsidR="00B80F09" w:rsidRDefault="00B80F09" w:rsidP="00CD370F"/>
    <w:p w:rsidR="00B80F09" w:rsidRDefault="00B80F09" w:rsidP="00CD370F">
      <w:pPr>
        <w:rPr>
          <w:sz w:val="96"/>
        </w:rPr>
      </w:pPr>
      <w:r>
        <w:rPr>
          <w:sz w:val="96"/>
        </w:rPr>
        <w:lastRenderedPageBreak/>
        <w:t>A</w:t>
      </w:r>
      <w:r w:rsidR="00FE3B0A">
        <w:rPr>
          <w:sz w:val="96"/>
        </w:rPr>
        <w:t>S</w:t>
      </w:r>
      <w:r>
        <w:rPr>
          <w:sz w:val="96"/>
        </w:rPr>
        <w:t xml:space="preserve"> Level Economics</w:t>
      </w:r>
    </w:p>
    <w:p w:rsidR="00B80F09" w:rsidRDefault="00FE3B0A" w:rsidP="00CD370F">
      <w:pPr>
        <w:rPr>
          <w:sz w:val="96"/>
        </w:rPr>
      </w:pPr>
      <w:r>
        <w:rPr>
          <w:sz w:val="96"/>
        </w:rPr>
        <w:t>Unit 2</w:t>
      </w:r>
      <w:bookmarkStart w:id="0" w:name="_GoBack"/>
      <w:bookmarkEnd w:id="0"/>
    </w:p>
    <w:p w:rsidR="00B80F09" w:rsidRDefault="00B80F09" w:rsidP="00CD370F">
      <w:pPr>
        <w:rPr>
          <w:sz w:val="96"/>
        </w:rPr>
      </w:pPr>
      <w:r>
        <w:rPr>
          <w:sz w:val="96"/>
        </w:rPr>
        <w:t>UK Trade Statistics</w:t>
      </w:r>
    </w:p>
    <w:p w:rsidR="00B80F09" w:rsidRDefault="00B80F09" w:rsidP="00CD370F">
      <w:pPr>
        <w:rPr>
          <w:sz w:val="96"/>
        </w:rPr>
      </w:pPr>
    </w:p>
    <w:p w:rsidR="00B80F09" w:rsidRDefault="00B80F09" w:rsidP="00CD370F">
      <w:pPr>
        <w:rPr>
          <w:sz w:val="96"/>
        </w:rPr>
      </w:pPr>
      <w:r>
        <w:rPr>
          <w:sz w:val="96"/>
        </w:rPr>
        <w:t xml:space="preserve">Mr M Young </w:t>
      </w:r>
    </w:p>
    <w:p w:rsidR="00B80F09" w:rsidRDefault="00B80F09" w:rsidP="00CD370F">
      <w:pPr>
        <w:rPr>
          <w:sz w:val="96"/>
        </w:rPr>
      </w:pPr>
    </w:p>
    <w:p w:rsidR="00B80F09" w:rsidRDefault="00207EA5" w:rsidP="00CD370F">
      <w:pPr>
        <w:rPr>
          <w:sz w:val="96"/>
        </w:rPr>
      </w:pPr>
      <w:r w:rsidRPr="009D5DEC">
        <w:rPr>
          <w:noProof/>
          <w:lang w:eastAsia="en-GB"/>
        </w:rPr>
        <w:drawing>
          <wp:anchor distT="0" distB="0" distL="114300" distR="114300" simplePos="0" relativeHeight="251663360" behindDoc="1" locked="0" layoutInCell="1" allowOverlap="1" wp14:anchorId="432360D6" wp14:editId="3F46D4CD">
            <wp:simplePos x="0" y="0"/>
            <wp:positionH relativeFrom="column">
              <wp:posOffset>1147445</wp:posOffset>
            </wp:positionH>
            <wp:positionV relativeFrom="paragraph">
              <wp:posOffset>830580</wp:posOffset>
            </wp:positionV>
            <wp:extent cx="3023870" cy="2424430"/>
            <wp:effectExtent l="0" t="0" r="5080" b="0"/>
            <wp:wrapTight wrapText="bothSides">
              <wp:wrapPolygon edited="0">
                <wp:start x="15921" y="5940"/>
                <wp:lineTo x="10750" y="7638"/>
                <wp:lineTo x="5851" y="8826"/>
                <wp:lineTo x="5443" y="9165"/>
                <wp:lineTo x="5307" y="11711"/>
                <wp:lineTo x="2722" y="13238"/>
                <wp:lineTo x="1497" y="14257"/>
                <wp:lineTo x="680" y="16124"/>
                <wp:lineTo x="408" y="16972"/>
                <wp:lineTo x="816" y="17991"/>
                <wp:lineTo x="5171" y="17991"/>
                <wp:lineTo x="8437" y="17142"/>
                <wp:lineTo x="14424" y="14766"/>
                <wp:lineTo x="14696" y="14426"/>
                <wp:lineTo x="20276" y="11711"/>
                <wp:lineTo x="21364" y="9844"/>
                <wp:lineTo x="21500" y="7638"/>
                <wp:lineTo x="20684" y="7128"/>
                <wp:lineTo x="17554" y="5940"/>
                <wp:lineTo x="15921" y="5940"/>
              </wp:wrapPolygon>
            </wp:wrapTight>
            <wp:docPr id="8" name="Picture 2" descr="http://www.crazy3dsmax.com/uploads/090919/1_1455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http://www.crazy3dsmax.com/uploads/090919/1_145512_1.jpg"/>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0" b="100000" l="0" r="100000">
                                  <a14:backgroundMark x1="20500" y1="25780" x2="20500" y2="25780"/>
                                  <a14:backgroundMark x1="73667" y1="79834" x2="73667" y2="7983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023870" cy="2424430"/>
                    </a:xfrm>
                    <a:prstGeom prst="rect">
                      <a:avLst/>
                    </a:prstGeom>
                    <a:noFill/>
                    <a:extLst/>
                  </pic:spPr>
                </pic:pic>
              </a:graphicData>
            </a:graphic>
            <wp14:sizeRelH relativeFrom="page">
              <wp14:pctWidth>0</wp14:pctWidth>
            </wp14:sizeRelH>
            <wp14:sizeRelV relativeFrom="page">
              <wp14:pctHeight>0</wp14:pctHeight>
            </wp14:sizeRelV>
          </wp:anchor>
        </w:drawing>
      </w:r>
      <w:r w:rsidR="00B80F09">
        <w:rPr>
          <w:sz w:val="96"/>
        </w:rPr>
        <w:t>Name……………………</w:t>
      </w:r>
      <w:r>
        <w:rPr>
          <w:sz w:val="96"/>
        </w:rPr>
        <w:t>….</w:t>
      </w:r>
    </w:p>
    <w:p w:rsidR="00207EA5" w:rsidRPr="00B80F09" w:rsidRDefault="00207EA5" w:rsidP="00CD370F">
      <w:pPr>
        <w:rPr>
          <w:sz w:val="96"/>
        </w:rPr>
      </w:pPr>
    </w:p>
    <w:sectPr w:rsidR="00207EA5" w:rsidRPr="00B80F09" w:rsidSect="00CD370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12C38"/>
    <w:multiLevelType w:val="hybridMultilevel"/>
    <w:tmpl w:val="12548612"/>
    <w:lvl w:ilvl="0" w:tplc="E62CEC2A">
      <w:start w:val="1"/>
      <w:numFmt w:val="bullet"/>
      <w:lvlText w:val="•"/>
      <w:lvlJc w:val="left"/>
      <w:pPr>
        <w:tabs>
          <w:tab w:val="num" w:pos="720"/>
        </w:tabs>
        <w:ind w:left="720" w:hanging="360"/>
      </w:pPr>
      <w:rPr>
        <w:rFonts w:ascii="Arial" w:hAnsi="Arial" w:hint="default"/>
      </w:rPr>
    </w:lvl>
    <w:lvl w:ilvl="1" w:tplc="92D808C8" w:tentative="1">
      <w:start w:val="1"/>
      <w:numFmt w:val="bullet"/>
      <w:lvlText w:val="•"/>
      <w:lvlJc w:val="left"/>
      <w:pPr>
        <w:tabs>
          <w:tab w:val="num" w:pos="1440"/>
        </w:tabs>
        <w:ind w:left="1440" w:hanging="360"/>
      </w:pPr>
      <w:rPr>
        <w:rFonts w:ascii="Arial" w:hAnsi="Arial" w:hint="default"/>
      </w:rPr>
    </w:lvl>
    <w:lvl w:ilvl="2" w:tplc="3426F5BC" w:tentative="1">
      <w:start w:val="1"/>
      <w:numFmt w:val="bullet"/>
      <w:lvlText w:val="•"/>
      <w:lvlJc w:val="left"/>
      <w:pPr>
        <w:tabs>
          <w:tab w:val="num" w:pos="2160"/>
        </w:tabs>
        <w:ind w:left="2160" w:hanging="360"/>
      </w:pPr>
      <w:rPr>
        <w:rFonts w:ascii="Arial" w:hAnsi="Arial" w:hint="default"/>
      </w:rPr>
    </w:lvl>
    <w:lvl w:ilvl="3" w:tplc="DE54C86C" w:tentative="1">
      <w:start w:val="1"/>
      <w:numFmt w:val="bullet"/>
      <w:lvlText w:val="•"/>
      <w:lvlJc w:val="left"/>
      <w:pPr>
        <w:tabs>
          <w:tab w:val="num" w:pos="2880"/>
        </w:tabs>
        <w:ind w:left="2880" w:hanging="360"/>
      </w:pPr>
      <w:rPr>
        <w:rFonts w:ascii="Arial" w:hAnsi="Arial" w:hint="default"/>
      </w:rPr>
    </w:lvl>
    <w:lvl w:ilvl="4" w:tplc="5BAEB7C0" w:tentative="1">
      <w:start w:val="1"/>
      <w:numFmt w:val="bullet"/>
      <w:lvlText w:val="•"/>
      <w:lvlJc w:val="left"/>
      <w:pPr>
        <w:tabs>
          <w:tab w:val="num" w:pos="3600"/>
        </w:tabs>
        <w:ind w:left="3600" w:hanging="360"/>
      </w:pPr>
      <w:rPr>
        <w:rFonts w:ascii="Arial" w:hAnsi="Arial" w:hint="default"/>
      </w:rPr>
    </w:lvl>
    <w:lvl w:ilvl="5" w:tplc="F81A85BE" w:tentative="1">
      <w:start w:val="1"/>
      <w:numFmt w:val="bullet"/>
      <w:lvlText w:val="•"/>
      <w:lvlJc w:val="left"/>
      <w:pPr>
        <w:tabs>
          <w:tab w:val="num" w:pos="4320"/>
        </w:tabs>
        <w:ind w:left="4320" w:hanging="360"/>
      </w:pPr>
      <w:rPr>
        <w:rFonts w:ascii="Arial" w:hAnsi="Arial" w:hint="default"/>
      </w:rPr>
    </w:lvl>
    <w:lvl w:ilvl="6" w:tplc="5822AB0C" w:tentative="1">
      <w:start w:val="1"/>
      <w:numFmt w:val="bullet"/>
      <w:lvlText w:val="•"/>
      <w:lvlJc w:val="left"/>
      <w:pPr>
        <w:tabs>
          <w:tab w:val="num" w:pos="5040"/>
        </w:tabs>
        <w:ind w:left="5040" w:hanging="360"/>
      </w:pPr>
      <w:rPr>
        <w:rFonts w:ascii="Arial" w:hAnsi="Arial" w:hint="default"/>
      </w:rPr>
    </w:lvl>
    <w:lvl w:ilvl="7" w:tplc="6F2666FA" w:tentative="1">
      <w:start w:val="1"/>
      <w:numFmt w:val="bullet"/>
      <w:lvlText w:val="•"/>
      <w:lvlJc w:val="left"/>
      <w:pPr>
        <w:tabs>
          <w:tab w:val="num" w:pos="5760"/>
        </w:tabs>
        <w:ind w:left="5760" w:hanging="360"/>
      </w:pPr>
      <w:rPr>
        <w:rFonts w:ascii="Arial" w:hAnsi="Arial" w:hint="default"/>
      </w:rPr>
    </w:lvl>
    <w:lvl w:ilvl="8" w:tplc="0D50292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0F"/>
    <w:rsid w:val="00010124"/>
    <w:rsid w:val="00207EA5"/>
    <w:rsid w:val="00386405"/>
    <w:rsid w:val="005E70B5"/>
    <w:rsid w:val="006E5C3F"/>
    <w:rsid w:val="007C23C3"/>
    <w:rsid w:val="00801F8B"/>
    <w:rsid w:val="009D5DEC"/>
    <w:rsid w:val="00B80F09"/>
    <w:rsid w:val="00BB2CB1"/>
    <w:rsid w:val="00BC61AE"/>
    <w:rsid w:val="00BD3BE3"/>
    <w:rsid w:val="00C41A36"/>
    <w:rsid w:val="00CD370F"/>
    <w:rsid w:val="00E35DFF"/>
    <w:rsid w:val="00FE3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3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3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6865">
      <w:bodyDiv w:val="1"/>
      <w:marLeft w:val="0"/>
      <w:marRight w:val="0"/>
      <w:marTop w:val="0"/>
      <w:marBottom w:val="0"/>
      <w:divBdr>
        <w:top w:val="none" w:sz="0" w:space="0" w:color="auto"/>
        <w:left w:val="none" w:sz="0" w:space="0" w:color="auto"/>
        <w:bottom w:val="none" w:sz="0" w:space="0" w:color="auto"/>
        <w:right w:val="none" w:sz="0" w:space="0" w:color="auto"/>
      </w:divBdr>
    </w:div>
    <w:div w:id="1885285838">
      <w:bodyDiv w:val="1"/>
      <w:marLeft w:val="0"/>
      <w:marRight w:val="0"/>
      <w:marTop w:val="0"/>
      <w:marBottom w:val="0"/>
      <w:divBdr>
        <w:top w:val="none" w:sz="0" w:space="0" w:color="auto"/>
        <w:left w:val="none" w:sz="0" w:space="0" w:color="auto"/>
        <w:bottom w:val="none" w:sz="0" w:space="0" w:color="auto"/>
        <w:right w:val="none" w:sz="0" w:space="0" w:color="auto"/>
      </w:divBdr>
      <w:divsChild>
        <w:div w:id="79502429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4.xml"/><Relationship Id="rId14" Type="http://schemas.microsoft.com/office/2007/relationships/hdphoto" Target="media/hdphoto1.wdp"/></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pieChart>
        <c:varyColors val="1"/>
        <c:ser>
          <c:idx val="0"/>
          <c:order val="0"/>
          <c:dLbls>
            <c:dLbl>
              <c:idx val="0"/>
              <c:layout>
                <c:manualLayout>
                  <c:x val="6.9982791886113657E-2"/>
                  <c:y val="8.1385014173966666E-2"/>
                </c:manualLayout>
              </c:layout>
              <c:showLegendKey val="0"/>
              <c:showVal val="1"/>
              <c:showCatName val="1"/>
              <c:showSerName val="0"/>
              <c:showPercent val="0"/>
              <c:showBubbleSize val="0"/>
            </c:dLbl>
            <c:dLbl>
              <c:idx val="1"/>
              <c:layout>
                <c:manualLayout>
                  <c:x val="1.9242408440666769E-2"/>
                  <c:y val="-0.11255537211889759"/>
                </c:manualLayout>
              </c:layout>
              <c:showLegendKey val="0"/>
              <c:showVal val="1"/>
              <c:showCatName val="1"/>
              <c:showSerName val="0"/>
              <c:showPercent val="0"/>
              <c:showBubbleSize val="0"/>
            </c:dLbl>
            <c:dLbl>
              <c:idx val="2"/>
              <c:layout>
                <c:manualLayout>
                  <c:x val="7.2453981331803724E-2"/>
                  <c:y val="-3.7840633137220372E-2"/>
                </c:manualLayout>
              </c:layout>
              <c:showLegendKey val="0"/>
              <c:showVal val="1"/>
              <c:showCatName val="1"/>
              <c:showSerName val="0"/>
              <c:showPercent val="0"/>
              <c:showBubbleSize val="0"/>
            </c:dLbl>
            <c:dLbl>
              <c:idx val="3"/>
              <c:layout>
                <c:manualLayout>
                  <c:x val="-1.9126644765430811E-2"/>
                  <c:y val="-1.5240621710876995E-2"/>
                </c:manualLayout>
              </c:layout>
              <c:showLegendKey val="0"/>
              <c:showVal val="1"/>
              <c:showCatName val="1"/>
              <c:showSerName val="0"/>
              <c:showPercent val="0"/>
              <c:showBubbleSize val="0"/>
            </c:dLbl>
            <c:dLbl>
              <c:idx val="4"/>
              <c:layout>
                <c:manualLayout>
                  <c:x val="-1.9125688759103789E-2"/>
                  <c:y val="-4.3825327726964583E-2"/>
                </c:manualLayout>
              </c:layout>
              <c:showLegendKey val="0"/>
              <c:showVal val="1"/>
              <c:showCatName val="1"/>
              <c:showSerName val="0"/>
              <c:showPercent val="0"/>
              <c:showBubbleSize val="0"/>
            </c:dLbl>
            <c:dLbl>
              <c:idx val="5"/>
              <c:layout/>
              <c:tx>
                <c:rich>
                  <a:bodyPr/>
                  <a:lstStyle/>
                  <a:p>
                    <a:r>
                      <a:rPr lang="en-US"/>
                      <a:t>Belgium/</a:t>
                    </a:r>
                  </a:p>
                  <a:p>
                    <a:r>
                      <a:rPr lang="en-US"/>
                      <a:t>Luxembourg, 5.40%</a:t>
                    </a:r>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Sheet1!$G$7:$G$16</c:f>
              <c:strCache>
                <c:ptCount val="10"/>
                <c:pt idx="0">
                  <c:v>USA</c:v>
                </c:pt>
                <c:pt idx="1">
                  <c:v>Germany</c:v>
                </c:pt>
                <c:pt idx="2">
                  <c:v>Netherlands</c:v>
                </c:pt>
                <c:pt idx="3">
                  <c:v>Ireland</c:v>
                </c:pt>
                <c:pt idx="4">
                  <c:v>France</c:v>
                </c:pt>
                <c:pt idx="5">
                  <c:v>Belgium/Luxembourg</c:v>
                </c:pt>
                <c:pt idx="6">
                  <c:v>Spain</c:v>
                </c:pt>
                <c:pt idx="7">
                  <c:v>Italy</c:v>
                </c:pt>
                <c:pt idx="8">
                  <c:v>Sweden</c:v>
                </c:pt>
                <c:pt idx="9">
                  <c:v>China</c:v>
                </c:pt>
              </c:strCache>
            </c:strRef>
          </c:cat>
          <c:val>
            <c:numRef>
              <c:f>Sheet1!$H$7:$H$16</c:f>
              <c:numCache>
                <c:formatCode>0.00%</c:formatCode>
                <c:ptCount val="10"/>
                <c:pt idx="0">
                  <c:v>0.14099999999999999</c:v>
                </c:pt>
                <c:pt idx="1">
                  <c:v>0.111</c:v>
                </c:pt>
                <c:pt idx="2">
                  <c:v>7.9000000000000001E-2</c:v>
                </c:pt>
                <c:pt idx="3">
                  <c:v>7.5999999999999998E-2</c:v>
                </c:pt>
                <c:pt idx="4">
                  <c:v>7.1999999999999995E-2</c:v>
                </c:pt>
                <c:pt idx="5">
                  <c:v>5.3999999999999999E-2</c:v>
                </c:pt>
                <c:pt idx="6">
                  <c:v>4.1000000000000002E-2</c:v>
                </c:pt>
                <c:pt idx="7">
                  <c:v>3.6999999999999998E-2</c:v>
                </c:pt>
                <c:pt idx="8">
                  <c:v>2.1000000000000001E-2</c:v>
                </c:pt>
                <c:pt idx="9">
                  <c:v>0.02</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pieChart>
        <c:varyColors val="1"/>
        <c:ser>
          <c:idx val="0"/>
          <c:order val="0"/>
          <c:dLbls>
            <c:dLbl>
              <c:idx val="0"/>
              <c:layout>
                <c:manualLayout>
                  <c:x val="4.9112441543951085E-2"/>
                  <c:y val="2.73377515976287E-2"/>
                </c:manualLayout>
              </c:layout>
              <c:showLegendKey val="0"/>
              <c:showVal val="1"/>
              <c:showCatName val="1"/>
              <c:showSerName val="0"/>
              <c:showPercent val="0"/>
              <c:showBubbleSize val="0"/>
            </c:dLbl>
            <c:dLbl>
              <c:idx val="1"/>
              <c:layout>
                <c:manualLayout>
                  <c:x val="2.9484313747514798E-2"/>
                  <c:y val="-1.3496044191535599E-2"/>
                </c:manualLayout>
              </c:layout>
              <c:showLegendKey val="0"/>
              <c:showVal val="1"/>
              <c:showCatName val="1"/>
              <c:showSerName val="0"/>
              <c:showPercent val="0"/>
              <c:showBubbleSize val="0"/>
            </c:dLbl>
            <c:dLbl>
              <c:idx val="2"/>
              <c:layout>
                <c:manualLayout>
                  <c:x val="1.564813670759058E-2"/>
                  <c:y val="1.2491022070699742E-2"/>
                </c:manualLayout>
              </c:layout>
              <c:showLegendKey val="0"/>
              <c:showVal val="1"/>
              <c:showCatName val="1"/>
              <c:showSerName val="0"/>
              <c:showPercent val="0"/>
              <c:showBubbleSize val="0"/>
            </c:dLbl>
            <c:dLbl>
              <c:idx val="3"/>
              <c:layout>
                <c:manualLayout>
                  <c:x val="-9.2741153432853701E-3"/>
                  <c:y val="1.1290285115806376E-2"/>
                </c:manualLayout>
              </c:layout>
              <c:showLegendKey val="0"/>
              <c:showVal val="1"/>
              <c:showCatName val="1"/>
              <c:showSerName val="0"/>
              <c:showPercent val="0"/>
              <c:showBubbleSize val="0"/>
            </c:dLbl>
            <c:dLbl>
              <c:idx val="4"/>
              <c:layout>
                <c:manualLayout>
                  <c:x val="-1.9199344019230121E-2"/>
                  <c:y val="2.4933057937340436E-2"/>
                </c:manualLayout>
              </c:layout>
              <c:showLegendKey val="0"/>
              <c:showVal val="1"/>
              <c:showCatName val="1"/>
              <c:showSerName val="0"/>
              <c:showPercent val="0"/>
              <c:showBubbleSize val="0"/>
            </c:dLbl>
            <c:dLbl>
              <c:idx val="5"/>
              <c:layout>
                <c:manualLayout>
                  <c:x val="-3.0254267431977566E-2"/>
                  <c:y val="-3.4749157287801771E-2"/>
                </c:manualLayout>
              </c:layout>
              <c:showLegendKey val="0"/>
              <c:showVal val="1"/>
              <c:showCatName val="1"/>
              <c:showSerName val="0"/>
              <c:showPercent val="0"/>
              <c:showBubbleSize val="0"/>
            </c:dLbl>
            <c:dLbl>
              <c:idx val="6"/>
              <c:layout>
                <c:manualLayout>
                  <c:x val="-1.7761877482861003E-2"/>
                  <c:y val="-3.0969860145537324E-2"/>
                </c:manualLayout>
              </c:layout>
              <c:showLegendKey val="0"/>
              <c:showVal val="1"/>
              <c:showCatName val="1"/>
              <c:showSerName val="0"/>
              <c:showPercent val="0"/>
              <c:showBubbleSize val="0"/>
            </c:dLbl>
            <c:dLbl>
              <c:idx val="7"/>
              <c:layout>
                <c:manualLayout>
                  <c:x val="-4.0813011782942256E-2"/>
                  <c:y val="-3.138750778202197E-2"/>
                </c:manualLayout>
              </c:layout>
              <c:showLegendKey val="0"/>
              <c:showVal val="1"/>
              <c:showCatName val="1"/>
              <c:showSerName val="0"/>
              <c:showPercent val="0"/>
              <c:showBubbleSize val="0"/>
            </c:dLbl>
            <c:dLbl>
              <c:idx val="8"/>
              <c:layout>
                <c:manualLayout>
                  <c:x val="-2.9528270449788639E-2"/>
                  <c:y val="-2.2136244662401109E-2"/>
                </c:manualLayout>
              </c:layout>
              <c:showLegendKey val="0"/>
              <c:showVal val="1"/>
              <c:showCatName val="1"/>
              <c:showSerName val="0"/>
              <c:showPercent val="0"/>
              <c:showBubbleSize val="0"/>
            </c:dLbl>
            <c:dLbl>
              <c:idx val="9"/>
              <c:layout>
                <c:manualLayout>
                  <c:x val="-1.8296621624151476E-2"/>
                  <c:y val="-3.2395519671180678E-2"/>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Sheet1!$G$30:$G$39</c:f>
              <c:strCache>
                <c:ptCount val="10"/>
                <c:pt idx="0">
                  <c:v>Germany</c:v>
                </c:pt>
                <c:pt idx="1">
                  <c:v>USA</c:v>
                </c:pt>
                <c:pt idx="2">
                  <c:v>Netherlands</c:v>
                </c:pt>
                <c:pt idx="3">
                  <c:v>China</c:v>
                </c:pt>
                <c:pt idx="4">
                  <c:v>France</c:v>
                </c:pt>
                <c:pt idx="5">
                  <c:v>Norway</c:v>
                </c:pt>
                <c:pt idx="6">
                  <c:v>Belgium/ Luxembourg</c:v>
                </c:pt>
                <c:pt idx="7">
                  <c:v>Italy</c:v>
                </c:pt>
                <c:pt idx="8">
                  <c:v>Ireland</c:v>
                </c:pt>
                <c:pt idx="9">
                  <c:v>Spain</c:v>
                </c:pt>
              </c:strCache>
            </c:strRef>
          </c:cat>
          <c:val>
            <c:numRef>
              <c:f>Sheet1!$H$30:$H$39</c:f>
              <c:numCache>
                <c:formatCode>0.00%</c:formatCode>
                <c:ptCount val="10"/>
                <c:pt idx="0">
                  <c:v>0.129</c:v>
                </c:pt>
                <c:pt idx="1">
                  <c:v>7.4999999999999997E-2</c:v>
                </c:pt>
                <c:pt idx="2">
                  <c:v>7.4999999999999997E-2</c:v>
                </c:pt>
                <c:pt idx="3">
                  <c:v>6.7000000000000004E-2</c:v>
                </c:pt>
                <c:pt idx="4">
                  <c:v>6.7000000000000004E-2</c:v>
                </c:pt>
                <c:pt idx="5">
                  <c:v>6.3E-2</c:v>
                </c:pt>
                <c:pt idx="6">
                  <c:v>0.05</c:v>
                </c:pt>
                <c:pt idx="7">
                  <c:v>4.1000000000000002E-2</c:v>
                </c:pt>
                <c:pt idx="8">
                  <c:v>3.5999999999999997E-2</c:v>
                </c:pt>
                <c:pt idx="9">
                  <c:v>3.1E-2</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bar"/>
        <c:grouping val="clustered"/>
        <c:varyColors val="0"/>
        <c:ser>
          <c:idx val="0"/>
          <c:order val="0"/>
          <c:invertIfNegative val="0"/>
          <c:cat>
            <c:strRef>
              <c:f>Sheet1!$G$53:$G$62</c:f>
              <c:strCache>
                <c:ptCount val="10"/>
                <c:pt idx="0">
                  <c:v>Oil</c:v>
                </c:pt>
                <c:pt idx="1">
                  <c:v>Road Vechiles</c:v>
                </c:pt>
                <c:pt idx="2">
                  <c:v>Pharmaceuticals</c:v>
                </c:pt>
                <c:pt idx="3">
                  <c:v>Power Generating Equipment</c:v>
                </c:pt>
                <c:pt idx="4">
                  <c:v>Misc. Manufactures</c:v>
                </c:pt>
                <c:pt idx="5">
                  <c:v>Industrial Machinery</c:v>
                </c:pt>
                <c:pt idx="6">
                  <c:v>Electrical Machinery</c:v>
                </c:pt>
                <c:pt idx="7">
                  <c:v>Transport Equipment</c:v>
                </c:pt>
                <c:pt idx="8">
                  <c:v>Organic Chemicals</c:v>
                </c:pt>
                <c:pt idx="9">
                  <c:v>Specialised Machinery</c:v>
                </c:pt>
              </c:strCache>
            </c:strRef>
          </c:cat>
          <c:val>
            <c:numRef>
              <c:f>Sheet1!$H$53:$H$62</c:f>
              <c:numCache>
                <c:formatCode>"£"#,##0.00</c:formatCode>
                <c:ptCount val="10"/>
                <c:pt idx="0">
                  <c:v>31844</c:v>
                </c:pt>
                <c:pt idx="1">
                  <c:v>22488</c:v>
                </c:pt>
                <c:pt idx="2">
                  <c:v>17153</c:v>
                </c:pt>
                <c:pt idx="3">
                  <c:v>15057</c:v>
                </c:pt>
                <c:pt idx="4">
                  <c:v>14246</c:v>
                </c:pt>
                <c:pt idx="5">
                  <c:v>10400</c:v>
                </c:pt>
                <c:pt idx="6">
                  <c:v>9905</c:v>
                </c:pt>
                <c:pt idx="7">
                  <c:v>9150</c:v>
                </c:pt>
                <c:pt idx="8">
                  <c:v>8366</c:v>
                </c:pt>
                <c:pt idx="9">
                  <c:v>7673</c:v>
                </c:pt>
              </c:numCache>
            </c:numRef>
          </c:val>
        </c:ser>
        <c:dLbls>
          <c:showLegendKey val="0"/>
          <c:showVal val="0"/>
          <c:showCatName val="0"/>
          <c:showSerName val="0"/>
          <c:showPercent val="0"/>
          <c:showBubbleSize val="0"/>
        </c:dLbls>
        <c:gapWidth val="150"/>
        <c:axId val="106325504"/>
        <c:axId val="106327040"/>
      </c:barChart>
      <c:catAx>
        <c:axId val="106325504"/>
        <c:scaling>
          <c:orientation val="minMax"/>
        </c:scaling>
        <c:delete val="0"/>
        <c:axPos val="l"/>
        <c:majorTickMark val="out"/>
        <c:minorTickMark val="none"/>
        <c:tickLblPos val="nextTo"/>
        <c:crossAx val="106327040"/>
        <c:crosses val="autoZero"/>
        <c:auto val="1"/>
        <c:lblAlgn val="ctr"/>
        <c:lblOffset val="100"/>
        <c:noMultiLvlLbl val="0"/>
      </c:catAx>
      <c:valAx>
        <c:axId val="106327040"/>
        <c:scaling>
          <c:orientation val="minMax"/>
        </c:scaling>
        <c:delete val="0"/>
        <c:axPos val="b"/>
        <c:majorGridlines/>
        <c:numFmt formatCode="&quot;£&quot;#,##0.00" sourceLinked="1"/>
        <c:majorTickMark val="out"/>
        <c:minorTickMark val="none"/>
        <c:tickLblPos val="nextTo"/>
        <c:txPr>
          <a:bodyPr/>
          <a:lstStyle/>
          <a:p>
            <a:pPr>
              <a:defRPr sz="800"/>
            </a:pPr>
            <a:endParaRPr lang="en-US"/>
          </a:p>
        </c:txPr>
        <c:crossAx val="106325504"/>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bar"/>
        <c:grouping val="clustered"/>
        <c:varyColors val="0"/>
        <c:ser>
          <c:idx val="0"/>
          <c:order val="0"/>
          <c:invertIfNegative val="0"/>
          <c:cat>
            <c:strRef>
              <c:f>Sheet1!$G$70:$G$79</c:f>
              <c:strCache>
                <c:ptCount val="10"/>
                <c:pt idx="0">
                  <c:v>Oil</c:v>
                </c:pt>
                <c:pt idx="1">
                  <c:v>Road Vechiles</c:v>
                </c:pt>
                <c:pt idx="2">
                  <c:v>Misc. Manufactures</c:v>
                </c:pt>
                <c:pt idx="3">
                  <c:v>Telecomms Equipment</c:v>
                </c:pt>
                <c:pt idx="4">
                  <c:v>Office Machines</c:v>
                </c:pt>
                <c:pt idx="5">
                  <c:v>Electrical Machinery</c:v>
                </c:pt>
                <c:pt idx="6">
                  <c:v>Clothing</c:v>
                </c:pt>
                <c:pt idx="7">
                  <c:v>General Industry Machinery</c:v>
                </c:pt>
                <c:pt idx="8">
                  <c:v>Power Generating Equipment</c:v>
                </c:pt>
                <c:pt idx="9">
                  <c:v>Pharmaceuticals</c:v>
                </c:pt>
              </c:strCache>
            </c:strRef>
          </c:cat>
          <c:val>
            <c:numRef>
              <c:f>Sheet1!$H$70:$H$79</c:f>
              <c:numCache>
                <c:formatCode>"£"#,##0.00</c:formatCode>
                <c:ptCount val="10"/>
                <c:pt idx="0">
                  <c:v>37276</c:v>
                </c:pt>
                <c:pt idx="1">
                  <c:v>33928</c:v>
                </c:pt>
                <c:pt idx="2">
                  <c:v>18069</c:v>
                </c:pt>
                <c:pt idx="3">
                  <c:v>16271</c:v>
                </c:pt>
                <c:pt idx="4">
                  <c:v>15402</c:v>
                </c:pt>
                <c:pt idx="5">
                  <c:v>14608</c:v>
                </c:pt>
                <c:pt idx="6">
                  <c:v>13217</c:v>
                </c:pt>
                <c:pt idx="7">
                  <c:v>12076</c:v>
                </c:pt>
                <c:pt idx="8">
                  <c:v>11769</c:v>
                </c:pt>
                <c:pt idx="9">
                  <c:v>11014</c:v>
                </c:pt>
              </c:numCache>
            </c:numRef>
          </c:val>
        </c:ser>
        <c:dLbls>
          <c:showLegendKey val="0"/>
          <c:showVal val="0"/>
          <c:showCatName val="0"/>
          <c:showSerName val="0"/>
          <c:showPercent val="0"/>
          <c:showBubbleSize val="0"/>
        </c:dLbls>
        <c:gapWidth val="150"/>
        <c:axId val="106678528"/>
        <c:axId val="111038464"/>
      </c:barChart>
      <c:catAx>
        <c:axId val="106678528"/>
        <c:scaling>
          <c:orientation val="minMax"/>
        </c:scaling>
        <c:delete val="0"/>
        <c:axPos val="l"/>
        <c:majorTickMark val="out"/>
        <c:minorTickMark val="none"/>
        <c:tickLblPos val="nextTo"/>
        <c:crossAx val="111038464"/>
        <c:crosses val="autoZero"/>
        <c:auto val="1"/>
        <c:lblAlgn val="ctr"/>
        <c:lblOffset val="100"/>
        <c:noMultiLvlLbl val="0"/>
      </c:catAx>
      <c:valAx>
        <c:axId val="111038464"/>
        <c:scaling>
          <c:orientation val="minMax"/>
        </c:scaling>
        <c:delete val="0"/>
        <c:axPos val="b"/>
        <c:majorGridlines/>
        <c:numFmt formatCode="&quot;£&quot;#,##0.00" sourceLinked="1"/>
        <c:majorTickMark val="out"/>
        <c:minorTickMark val="none"/>
        <c:tickLblPos val="nextTo"/>
        <c:txPr>
          <a:bodyPr/>
          <a:lstStyle/>
          <a:p>
            <a:pPr>
              <a:defRPr sz="700"/>
            </a:pPr>
            <a:endParaRPr lang="en-US"/>
          </a:p>
        </c:txPr>
        <c:crossAx val="10667852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 Young</cp:lastModifiedBy>
  <cp:revision>7</cp:revision>
  <cp:lastPrinted>2012-04-16T13:12:00Z</cp:lastPrinted>
  <dcterms:created xsi:type="dcterms:W3CDTF">2012-03-12T17:11:00Z</dcterms:created>
  <dcterms:modified xsi:type="dcterms:W3CDTF">2012-04-16T13:28:00Z</dcterms:modified>
</cp:coreProperties>
</file>