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87" w:rsidRPr="002B3797" w:rsidRDefault="002B3797" w:rsidP="002B3797">
      <w:pPr>
        <w:jc w:val="center"/>
        <w:rPr>
          <w:b/>
          <w:sz w:val="28"/>
          <w:u w:val="single"/>
        </w:rPr>
      </w:pPr>
      <w:r w:rsidRPr="002B3797">
        <w:rPr>
          <w:b/>
          <w:sz w:val="28"/>
          <w:u w:val="single"/>
        </w:rPr>
        <w:t xml:space="preserve">A2 Business </w:t>
      </w:r>
    </w:p>
    <w:p w:rsidR="002B3797" w:rsidRDefault="002B3797" w:rsidP="002B3797">
      <w:pPr>
        <w:jc w:val="center"/>
        <w:rPr>
          <w:b/>
          <w:sz w:val="28"/>
          <w:u w:val="single"/>
        </w:rPr>
      </w:pPr>
      <w:r w:rsidRPr="002B3797">
        <w:rPr>
          <w:b/>
          <w:sz w:val="28"/>
          <w:u w:val="single"/>
        </w:rPr>
        <w:t>Interpreting Financial Statements</w:t>
      </w:r>
    </w:p>
    <w:p w:rsidR="002B3797" w:rsidRDefault="002B3797" w:rsidP="002B3797">
      <w:pPr>
        <w:rPr>
          <w:sz w:val="28"/>
        </w:rPr>
      </w:pPr>
    </w:p>
    <w:p w:rsidR="002B3797" w:rsidRPr="002B3797" w:rsidRDefault="002B3797" w:rsidP="002B3797">
      <w:pPr>
        <w:rPr>
          <w:b/>
          <w:sz w:val="28"/>
          <w:u w:val="single"/>
        </w:rPr>
      </w:pPr>
      <w:r w:rsidRPr="002B3797">
        <w:rPr>
          <w:b/>
          <w:sz w:val="28"/>
          <w:u w:val="single"/>
        </w:rPr>
        <w:t>Thomas Cook Group</w:t>
      </w:r>
    </w:p>
    <w:p w:rsidR="002B3797" w:rsidRDefault="002B3797" w:rsidP="002B3797">
      <w:pPr>
        <w:rPr>
          <w:sz w:val="28"/>
        </w:rPr>
      </w:pPr>
      <w:r>
        <w:rPr>
          <w:sz w:val="28"/>
        </w:rPr>
        <w:t>The Thomas Cook Group states that it has the overall objective ‘to ensure that it is at all times able to meet its financial commitments as and when they fall due’ (to be able to pay their short term debts with short term assets). An extract from</w:t>
      </w:r>
      <w:r w:rsidR="003C389F">
        <w:rPr>
          <w:sz w:val="28"/>
        </w:rPr>
        <w:t xml:space="preserve"> their accounts is shown below.</w:t>
      </w:r>
    </w:p>
    <w:tbl>
      <w:tblPr>
        <w:tblStyle w:val="TableGrid"/>
        <w:tblW w:w="9266" w:type="dxa"/>
        <w:tblLook w:val="04A0" w:firstRow="1" w:lastRow="0" w:firstColumn="1" w:lastColumn="0" w:noHBand="0" w:noVBand="1"/>
      </w:tblPr>
      <w:tblGrid>
        <w:gridCol w:w="3088"/>
        <w:gridCol w:w="3089"/>
        <w:gridCol w:w="3089"/>
      </w:tblGrid>
      <w:tr w:rsidR="002B3797" w:rsidTr="002B3797">
        <w:trPr>
          <w:trHeight w:val="548"/>
        </w:trPr>
        <w:tc>
          <w:tcPr>
            <w:tcW w:w="3088" w:type="dxa"/>
          </w:tcPr>
          <w:p w:rsidR="002B3797" w:rsidRPr="002B3797" w:rsidRDefault="002B3797" w:rsidP="002B3797">
            <w:pPr>
              <w:rPr>
                <w:b/>
                <w:sz w:val="28"/>
              </w:rPr>
            </w:pPr>
          </w:p>
        </w:tc>
        <w:tc>
          <w:tcPr>
            <w:tcW w:w="3089" w:type="dxa"/>
            <w:vAlign w:val="center"/>
          </w:tcPr>
          <w:p w:rsidR="002B3797" w:rsidRPr="002B3797" w:rsidRDefault="002B3797" w:rsidP="002B3797">
            <w:pPr>
              <w:jc w:val="center"/>
              <w:rPr>
                <w:b/>
                <w:sz w:val="28"/>
              </w:rPr>
            </w:pPr>
            <w:r w:rsidRPr="002B3797">
              <w:rPr>
                <w:b/>
                <w:sz w:val="28"/>
              </w:rPr>
              <w:t>2007</w:t>
            </w:r>
          </w:p>
        </w:tc>
        <w:tc>
          <w:tcPr>
            <w:tcW w:w="3089" w:type="dxa"/>
            <w:vAlign w:val="center"/>
          </w:tcPr>
          <w:p w:rsidR="002B3797" w:rsidRPr="002B3797" w:rsidRDefault="002B3797" w:rsidP="002B3797">
            <w:pPr>
              <w:jc w:val="center"/>
              <w:rPr>
                <w:b/>
                <w:sz w:val="28"/>
              </w:rPr>
            </w:pPr>
            <w:r w:rsidRPr="002B3797">
              <w:rPr>
                <w:b/>
                <w:sz w:val="28"/>
              </w:rPr>
              <w:t>2006</w:t>
            </w:r>
          </w:p>
        </w:tc>
      </w:tr>
      <w:tr w:rsidR="002B3797" w:rsidTr="002B3797">
        <w:trPr>
          <w:trHeight w:val="548"/>
        </w:trPr>
        <w:tc>
          <w:tcPr>
            <w:tcW w:w="3088" w:type="dxa"/>
          </w:tcPr>
          <w:p w:rsidR="002B3797" w:rsidRPr="002B3797" w:rsidRDefault="002B3797" w:rsidP="002B3797">
            <w:pPr>
              <w:rPr>
                <w:b/>
                <w:sz w:val="28"/>
              </w:rPr>
            </w:pPr>
            <w:r w:rsidRPr="002B3797">
              <w:rPr>
                <w:b/>
                <w:sz w:val="28"/>
              </w:rPr>
              <w:t>Current Assets</w:t>
            </w:r>
          </w:p>
        </w:tc>
        <w:tc>
          <w:tcPr>
            <w:tcW w:w="3089" w:type="dxa"/>
            <w:vAlign w:val="center"/>
          </w:tcPr>
          <w:p w:rsidR="002B3797" w:rsidRDefault="002B3797" w:rsidP="002B3797">
            <w:pPr>
              <w:jc w:val="center"/>
              <w:rPr>
                <w:sz w:val="28"/>
              </w:rPr>
            </w:pPr>
            <w:r>
              <w:rPr>
                <w:sz w:val="28"/>
              </w:rPr>
              <w:t>£2,321.4m</w:t>
            </w:r>
          </w:p>
        </w:tc>
        <w:tc>
          <w:tcPr>
            <w:tcW w:w="3089" w:type="dxa"/>
            <w:vAlign w:val="center"/>
          </w:tcPr>
          <w:p w:rsidR="002B3797" w:rsidRDefault="002B3797" w:rsidP="002B3797">
            <w:pPr>
              <w:jc w:val="center"/>
              <w:rPr>
                <w:sz w:val="28"/>
              </w:rPr>
            </w:pPr>
            <w:r>
              <w:rPr>
                <w:sz w:val="28"/>
              </w:rPr>
              <w:t>£1,433.4m</w:t>
            </w:r>
          </w:p>
        </w:tc>
      </w:tr>
      <w:tr w:rsidR="002B3797" w:rsidTr="002B3797">
        <w:trPr>
          <w:trHeight w:val="548"/>
        </w:trPr>
        <w:tc>
          <w:tcPr>
            <w:tcW w:w="3088" w:type="dxa"/>
          </w:tcPr>
          <w:p w:rsidR="002B3797" w:rsidRPr="002B3797" w:rsidRDefault="002B3797" w:rsidP="002B3797">
            <w:pPr>
              <w:rPr>
                <w:b/>
                <w:sz w:val="28"/>
              </w:rPr>
            </w:pPr>
            <w:r w:rsidRPr="002B3797">
              <w:rPr>
                <w:b/>
                <w:sz w:val="28"/>
              </w:rPr>
              <w:t>Of which Stock</w:t>
            </w:r>
          </w:p>
        </w:tc>
        <w:tc>
          <w:tcPr>
            <w:tcW w:w="3089" w:type="dxa"/>
            <w:vAlign w:val="center"/>
          </w:tcPr>
          <w:p w:rsidR="002B3797" w:rsidRDefault="002B3797" w:rsidP="002B3797">
            <w:pPr>
              <w:jc w:val="center"/>
              <w:rPr>
                <w:sz w:val="28"/>
              </w:rPr>
            </w:pPr>
            <w:r>
              <w:rPr>
                <w:sz w:val="28"/>
              </w:rPr>
              <w:t>£27.4m</w:t>
            </w:r>
          </w:p>
        </w:tc>
        <w:tc>
          <w:tcPr>
            <w:tcW w:w="3089" w:type="dxa"/>
            <w:vAlign w:val="center"/>
          </w:tcPr>
          <w:p w:rsidR="002B3797" w:rsidRDefault="002B3797" w:rsidP="002B3797">
            <w:pPr>
              <w:jc w:val="center"/>
              <w:rPr>
                <w:sz w:val="28"/>
              </w:rPr>
            </w:pPr>
            <w:r>
              <w:rPr>
                <w:sz w:val="28"/>
              </w:rPr>
              <w:t>£10.5m</w:t>
            </w:r>
          </w:p>
        </w:tc>
      </w:tr>
      <w:tr w:rsidR="002B3797" w:rsidTr="002B3797">
        <w:trPr>
          <w:trHeight w:val="590"/>
        </w:trPr>
        <w:tc>
          <w:tcPr>
            <w:tcW w:w="3088" w:type="dxa"/>
          </w:tcPr>
          <w:p w:rsidR="002B3797" w:rsidRPr="002B3797" w:rsidRDefault="002B3797" w:rsidP="002B3797">
            <w:pPr>
              <w:rPr>
                <w:b/>
                <w:sz w:val="28"/>
              </w:rPr>
            </w:pPr>
            <w:r w:rsidRPr="002B3797">
              <w:rPr>
                <w:b/>
                <w:sz w:val="28"/>
              </w:rPr>
              <w:t>Current Liabilities</w:t>
            </w:r>
          </w:p>
        </w:tc>
        <w:tc>
          <w:tcPr>
            <w:tcW w:w="3089" w:type="dxa"/>
            <w:vAlign w:val="center"/>
          </w:tcPr>
          <w:p w:rsidR="002B3797" w:rsidRDefault="002B3797" w:rsidP="002B3797">
            <w:pPr>
              <w:jc w:val="center"/>
              <w:rPr>
                <w:sz w:val="28"/>
              </w:rPr>
            </w:pPr>
            <w:r>
              <w:rPr>
                <w:sz w:val="28"/>
              </w:rPr>
              <w:t>£3,737.9m</w:t>
            </w:r>
          </w:p>
        </w:tc>
        <w:tc>
          <w:tcPr>
            <w:tcW w:w="3089" w:type="dxa"/>
            <w:vAlign w:val="center"/>
          </w:tcPr>
          <w:p w:rsidR="002B3797" w:rsidRDefault="002B3797" w:rsidP="002B3797">
            <w:pPr>
              <w:jc w:val="center"/>
              <w:rPr>
                <w:sz w:val="28"/>
              </w:rPr>
            </w:pPr>
            <w:r>
              <w:rPr>
                <w:sz w:val="28"/>
              </w:rPr>
              <w:t>£207,709m</w:t>
            </w:r>
          </w:p>
        </w:tc>
      </w:tr>
    </w:tbl>
    <w:p w:rsidR="002B3797" w:rsidRDefault="002B3797" w:rsidP="002B3797">
      <w:pPr>
        <w:rPr>
          <w:sz w:val="28"/>
        </w:rPr>
      </w:pPr>
    </w:p>
    <w:p w:rsidR="002B3797" w:rsidRDefault="002B3797" w:rsidP="002B3797">
      <w:pPr>
        <w:rPr>
          <w:b/>
          <w:sz w:val="28"/>
          <w:u w:val="single"/>
        </w:rPr>
      </w:pPr>
      <w:r w:rsidRPr="002B3797">
        <w:rPr>
          <w:b/>
          <w:sz w:val="28"/>
          <w:u w:val="single"/>
        </w:rPr>
        <w:t>Activities</w:t>
      </w:r>
    </w:p>
    <w:p w:rsidR="002B3797" w:rsidRPr="002B3797" w:rsidRDefault="002B3797" w:rsidP="002B3797">
      <w:pPr>
        <w:pStyle w:val="ListParagraph"/>
        <w:numPr>
          <w:ilvl w:val="0"/>
          <w:numId w:val="1"/>
        </w:numPr>
        <w:rPr>
          <w:b/>
          <w:sz w:val="28"/>
          <w:u w:val="single"/>
        </w:rPr>
      </w:pPr>
      <w:r>
        <w:rPr>
          <w:sz w:val="28"/>
        </w:rPr>
        <w:t>Calculate the liquidity ratios for 2006 and 2007.</w:t>
      </w:r>
      <w:bookmarkStart w:id="0" w:name="_GoBack"/>
      <w:bookmarkEnd w:id="0"/>
      <w:r w:rsidR="00DE40F0">
        <w:rPr>
          <w:sz w:val="28"/>
        </w:rPr>
        <w:br/>
      </w:r>
    </w:p>
    <w:p w:rsidR="002B3797" w:rsidRPr="002B3797" w:rsidRDefault="002B3797" w:rsidP="002B3797">
      <w:pPr>
        <w:pStyle w:val="ListParagraph"/>
        <w:numPr>
          <w:ilvl w:val="0"/>
          <w:numId w:val="1"/>
        </w:numPr>
        <w:rPr>
          <w:b/>
          <w:sz w:val="28"/>
          <w:u w:val="single"/>
        </w:rPr>
      </w:pPr>
      <w:r>
        <w:rPr>
          <w:sz w:val="28"/>
        </w:rPr>
        <w:t>Explain what these ratios mean for the Thomas Cook Group.</w:t>
      </w:r>
      <w:r w:rsidR="00DE40F0">
        <w:rPr>
          <w:sz w:val="28"/>
        </w:rPr>
        <w:br/>
      </w:r>
    </w:p>
    <w:p w:rsidR="002B3797" w:rsidRDefault="002B3797" w:rsidP="002B3797">
      <w:pPr>
        <w:pStyle w:val="ListParagraph"/>
        <w:numPr>
          <w:ilvl w:val="0"/>
          <w:numId w:val="1"/>
        </w:numPr>
        <w:rPr>
          <w:sz w:val="28"/>
        </w:rPr>
      </w:pPr>
      <w:r w:rsidRPr="002B3797">
        <w:rPr>
          <w:sz w:val="28"/>
        </w:rPr>
        <w:t>Comment on whether you feel Thomas Cook’s financial situation has improved or got worse between 2006 and 2007.</w:t>
      </w:r>
      <w:r w:rsidR="00DE40F0">
        <w:rPr>
          <w:sz w:val="28"/>
        </w:rPr>
        <w:br/>
      </w:r>
    </w:p>
    <w:p w:rsidR="00DE40F0" w:rsidRPr="003C389F" w:rsidRDefault="00DE40F0" w:rsidP="002B3797">
      <w:pPr>
        <w:pStyle w:val="ListParagraph"/>
        <w:numPr>
          <w:ilvl w:val="0"/>
          <w:numId w:val="1"/>
        </w:numPr>
        <w:rPr>
          <w:sz w:val="28"/>
        </w:rPr>
      </w:pPr>
      <w:r>
        <w:rPr>
          <w:noProof/>
          <w:lang w:eastAsia="en-GB"/>
        </w:rPr>
        <w:drawing>
          <wp:anchor distT="0" distB="0" distL="114300" distR="114300" simplePos="0" relativeHeight="251658240" behindDoc="1" locked="0" layoutInCell="1" allowOverlap="1" wp14:anchorId="288E5788" wp14:editId="77C0B426">
            <wp:simplePos x="0" y="0"/>
            <wp:positionH relativeFrom="column">
              <wp:posOffset>4382135</wp:posOffset>
            </wp:positionH>
            <wp:positionV relativeFrom="paragraph">
              <wp:posOffset>528955</wp:posOffset>
            </wp:positionV>
            <wp:extent cx="1875790" cy="1875790"/>
            <wp:effectExtent l="0" t="0" r="0" b="0"/>
            <wp:wrapTight wrapText="bothSides">
              <wp:wrapPolygon edited="0">
                <wp:start x="0" y="0"/>
                <wp:lineTo x="0" y="21278"/>
                <wp:lineTo x="21278" y="21278"/>
                <wp:lineTo x="21278" y="0"/>
                <wp:lineTo x="0" y="0"/>
              </wp:wrapPolygon>
            </wp:wrapTight>
            <wp:docPr id="4100" name="Picture 4" descr="http://www.wycombewanderers.co.uk/javaImages/e6/b7/0,,10430~338941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descr="http://www.wycombewanderers.co.uk/javaImages/e6/b7/0,,10430~3389414,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75790" cy="1875790"/>
                    </a:xfrm>
                    <a:prstGeom prst="rect">
                      <a:avLst/>
                    </a:prstGeom>
                    <a:noFill/>
                    <a:extLst/>
                  </pic:spPr>
                </pic:pic>
              </a:graphicData>
            </a:graphic>
            <wp14:sizeRelH relativeFrom="page">
              <wp14:pctWidth>0</wp14:pctWidth>
            </wp14:sizeRelH>
            <wp14:sizeRelV relativeFrom="page">
              <wp14:pctHeight>0</wp14:pctHeight>
            </wp14:sizeRelV>
          </wp:anchor>
        </w:drawing>
      </w:r>
      <w:r>
        <w:rPr>
          <w:sz w:val="28"/>
        </w:rPr>
        <w:t>Do you feel Thomas Cook is able to achieve its objective in</w:t>
      </w:r>
      <w:proofErr w:type="gramStart"/>
      <w:r>
        <w:rPr>
          <w:sz w:val="28"/>
        </w:rPr>
        <w:t>;</w:t>
      </w:r>
      <w:proofErr w:type="gramEnd"/>
      <w:r>
        <w:rPr>
          <w:sz w:val="28"/>
        </w:rPr>
        <w:br/>
        <w:t>i)2006</w:t>
      </w:r>
      <w:r>
        <w:rPr>
          <w:sz w:val="28"/>
        </w:rPr>
        <w:br/>
        <w:t>ii) 2007</w:t>
      </w:r>
      <w:r>
        <w:rPr>
          <w:sz w:val="28"/>
        </w:rPr>
        <w:br/>
        <w:t>Justify your argument with reasons.</w:t>
      </w:r>
      <w:r w:rsidRPr="00DE40F0">
        <w:rPr>
          <w:noProof/>
          <w:lang w:eastAsia="en-GB"/>
        </w:rPr>
        <w:t xml:space="preserve"> </w:t>
      </w:r>
      <w:r w:rsidR="003C389F">
        <w:rPr>
          <w:noProof/>
          <w:lang w:eastAsia="en-GB"/>
        </w:rPr>
        <w:br/>
      </w:r>
    </w:p>
    <w:p w:rsidR="003C389F" w:rsidRPr="003C389F" w:rsidRDefault="003C389F" w:rsidP="002B3797">
      <w:pPr>
        <w:pStyle w:val="ListParagraph"/>
        <w:numPr>
          <w:ilvl w:val="0"/>
          <w:numId w:val="1"/>
        </w:numPr>
        <w:rPr>
          <w:sz w:val="36"/>
        </w:rPr>
      </w:pPr>
      <w:r w:rsidRPr="003C389F">
        <w:rPr>
          <w:noProof/>
          <w:sz w:val="28"/>
          <w:lang w:eastAsia="en-GB"/>
        </w:rPr>
        <w:t>Extension: What have Thomas Cook done to improve their liquidity? How might they have done this? What are the benefits of doing this?</w:t>
      </w:r>
    </w:p>
    <w:sectPr w:rsidR="003C389F" w:rsidRPr="003C389F" w:rsidSect="002B379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4112B"/>
    <w:multiLevelType w:val="hybridMultilevel"/>
    <w:tmpl w:val="EEE20646"/>
    <w:lvl w:ilvl="0" w:tplc="2F4489BA">
      <w:start w:val="1"/>
      <w:numFmt w:val="decimal"/>
      <w:lvlText w:val="%1)"/>
      <w:lvlJc w:val="left"/>
      <w:pPr>
        <w:ind w:left="720" w:hanging="360"/>
      </w:pPr>
      <w:rPr>
        <w:rFonts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97"/>
    <w:rsid w:val="002B3797"/>
    <w:rsid w:val="003C389F"/>
    <w:rsid w:val="007A41CE"/>
    <w:rsid w:val="00A31451"/>
    <w:rsid w:val="00DE40F0"/>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797"/>
    <w:pPr>
      <w:ind w:left="720"/>
      <w:contextualSpacing/>
    </w:pPr>
  </w:style>
  <w:style w:type="paragraph" w:styleId="BalloonText">
    <w:name w:val="Balloon Text"/>
    <w:basedOn w:val="Normal"/>
    <w:link w:val="BalloonTextChar"/>
    <w:uiPriority w:val="99"/>
    <w:semiHidden/>
    <w:unhideWhenUsed/>
    <w:rsid w:val="00DE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7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3797"/>
    <w:pPr>
      <w:ind w:left="720"/>
      <w:contextualSpacing/>
    </w:pPr>
  </w:style>
  <w:style w:type="paragraph" w:styleId="BalloonText">
    <w:name w:val="Balloon Text"/>
    <w:basedOn w:val="Normal"/>
    <w:link w:val="BalloonTextChar"/>
    <w:uiPriority w:val="99"/>
    <w:semiHidden/>
    <w:unhideWhenUsed/>
    <w:rsid w:val="00DE4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0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2011-03-14T20:37:00Z</dcterms:created>
  <dcterms:modified xsi:type="dcterms:W3CDTF">2011-03-14T22:03:00Z</dcterms:modified>
</cp:coreProperties>
</file>