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E" w:rsidRDefault="007F1092" w:rsidP="00591B3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A2 Business Studies</w:t>
      </w:r>
      <w:r w:rsidR="00CA10F4">
        <w:rPr>
          <w:b/>
          <w:sz w:val="28"/>
          <w:szCs w:val="28"/>
          <w:u w:val="single"/>
        </w:rPr>
        <w:br/>
        <w:t>High End Fashion Market</w:t>
      </w:r>
      <w:r>
        <w:rPr>
          <w:b/>
          <w:sz w:val="28"/>
          <w:szCs w:val="28"/>
          <w:u w:val="single"/>
        </w:rPr>
        <w:t xml:space="preserve"> Analysis</w:t>
      </w:r>
    </w:p>
    <w:p w:rsidR="00CA10F4" w:rsidRDefault="00AB610E" w:rsidP="00AB610E">
      <w:pPr>
        <w:rPr>
          <w:sz w:val="28"/>
          <w:szCs w:val="28"/>
        </w:rPr>
      </w:pPr>
      <w:r>
        <w:rPr>
          <w:sz w:val="28"/>
          <w:szCs w:val="28"/>
        </w:rPr>
        <w:t>Look at the following pieces of Market Analysis information, and draw points and conclusions from what is occurring in the market. Provide re</w:t>
      </w:r>
      <w:r w:rsidR="00591B30">
        <w:rPr>
          <w:sz w:val="28"/>
          <w:szCs w:val="28"/>
        </w:rPr>
        <w:t xml:space="preserve">asons for any trends you notice. E.g. </w:t>
      </w:r>
      <w:proofErr w:type="gramStart"/>
      <w:r w:rsidR="00591B30">
        <w:rPr>
          <w:sz w:val="28"/>
          <w:szCs w:val="28"/>
        </w:rPr>
        <w:t>Why</w:t>
      </w:r>
      <w:proofErr w:type="gramEnd"/>
      <w:r w:rsidR="00591B30">
        <w:rPr>
          <w:sz w:val="28"/>
          <w:szCs w:val="28"/>
        </w:rPr>
        <w:t xml:space="preserve"> has market share fallen for a firm who has opened more outlets between 2000-2010.</w:t>
      </w:r>
    </w:p>
    <w:p w:rsidR="00CA10F4" w:rsidRPr="00CA10F4" w:rsidRDefault="00CA10F4" w:rsidP="00AB6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Market Share in High End Fashion Market 2010:</w:t>
      </w:r>
    </w:p>
    <w:p w:rsidR="00CA10F4" w:rsidRDefault="00EC33F8" w:rsidP="00AB610E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ED15EA" wp14:editId="1182A8D9">
            <wp:extent cx="5390866" cy="2743200"/>
            <wp:effectExtent l="0" t="0" r="63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10F4" w:rsidRDefault="00CA10F4" w:rsidP="00AB610E">
      <w:pPr>
        <w:rPr>
          <w:b/>
          <w:sz w:val="28"/>
          <w:szCs w:val="28"/>
          <w:u w:val="single"/>
        </w:rPr>
      </w:pPr>
      <w:r w:rsidRPr="00CA10F4">
        <w:rPr>
          <w:b/>
          <w:sz w:val="28"/>
          <w:szCs w:val="28"/>
          <w:u w:val="single"/>
        </w:rPr>
        <w:t>Sales (£</w:t>
      </w:r>
      <w:proofErr w:type="spellStart"/>
      <w:r w:rsidRPr="00CA10F4">
        <w:rPr>
          <w:b/>
          <w:sz w:val="28"/>
          <w:szCs w:val="28"/>
          <w:u w:val="single"/>
        </w:rPr>
        <w:t>bn</w:t>
      </w:r>
      <w:proofErr w:type="spellEnd"/>
      <w:r w:rsidRPr="00CA10F4">
        <w:rPr>
          <w:b/>
          <w:sz w:val="28"/>
          <w:szCs w:val="28"/>
          <w:u w:val="single"/>
        </w:rPr>
        <w:t>) in UK high end fashion market</w:t>
      </w:r>
      <w:r w:rsidR="00EC33F8">
        <w:rPr>
          <w:b/>
          <w:sz w:val="28"/>
          <w:szCs w:val="28"/>
          <w:u w:val="single"/>
        </w:rPr>
        <w:t xml:space="preserve"> 2005-2009</w:t>
      </w:r>
      <w:r w:rsidRPr="00CA10F4">
        <w:rPr>
          <w:b/>
          <w:sz w:val="28"/>
          <w:szCs w:val="28"/>
          <w:u w:val="single"/>
        </w:rPr>
        <w:t>:</w:t>
      </w:r>
    </w:p>
    <w:p w:rsidR="00CA10F4" w:rsidRDefault="00CA10F4" w:rsidP="00CA10F4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E5911A5" wp14:editId="3687E07C">
            <wp:extent cx="5431809" cy="3166281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10F4" w:rsidRDefault="00CA10F4" w:rsidP="00CA10F4">
      <w:pPr>
        <w:jc w:val="center"/>
        <w:rPr>
          <w:b/>
          <w:sz w:val="28"/>
          <w:szCs w:val="28"/>
          <w:u w:val="single"/>
        </w:rPr>
      </w:pPr>
    </w:p>
    <w:p w:rsidR="00CA10F4" w:rsidRDefault="00CA10F4" w:rsidP="00CA10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Market Share in High End Fashion Market 2000:</w:t>
      </w:r>
    </w:p>
    <w:p w:rsidR="00AB610E" w:rsidRDefault="00EC33F8" w:rsidP="00AB610E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A22367E" wp14:editId="6C5E4B3F">
            <wp:extent cx="5691116" cy="3043451"/>
            <wp:effectExtent l="0" t="0" r="508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33F8" w:rsidRDefault="00EC33F8" w:rsidP="00AB610E">
      <w:pPr>
        <w:rPr>
          <w:sz w:val="28"/>
          <w:szCs w:val="28"/>
        </w:rPr>
      </w:pPr>
    </w:p>
    <w:p w:rsidR="00EC33F8" w:rsidRDefault="00EC33F8" w:rsidP="00AB610E">
      <w:pPr>
        <w:rPr>
          <w:b/>
          <w:sz w:val="28"/>
          <w:szCs w:val="28"/>
          <w:u w:val="single"/>
        </w:rPr>
      </w:pPr>
      <w:r w:rsidRPr="00EC33F8">
        <w:rPr>
          <w:b/>
          <w:sz w:val="28"/>
          <w:szCs w:val="28"/>
          <w:u w:val="single"/>
        </w:rPr>
        <w:t>Distribution Figures in UK hi</w:t>
      </w:r>
      <w:r>
        <w:rPr>
          <w:b/>
          <w:sz w:val="28"/>
          <w:szCs w:val="28"/>
          <w:u w:val="single"/>
        </w:rPr>
        <w:t>gh end fashion market 2000-2010:</w:t>
      </w:r>
    </w:p>
    <w:tbl>
      <w:tblPr>
        <w:tblStyle w:val="TableGrid"/>
        <w:tblW w:w="9306" w:type="dxa"/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 w:rsidR="00591B30" w:rsidTr="00591B30">
        <w:trPr>
          <w:trHeight w:val="804"/>
        </w:trPr>
        <w:tc>
          <w:tcPr>
            <w:tcW w:w="2326" w:type="dxa"/>
            <w:vAlign w:val="center"/>
          </w:tcPr>
          <w:p w:rsidR="00591B30" w:rsidRPr="00591B30" w:rsidRDefault="00591B30" w:rsidP="00591B3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1B30">
              <w:rPr>
                <w:b/>
                <w:sz w:val="28"/>
                <w:szCs w:val="28"/>
                <w:u w:val="single"/>
              </w:rPr>
              <w:t>Firm</w:t>
            </w:r>
          </w:p>
        </w:tc>
        <w:tc>
          <w:tcPr>
            <w:tcW w:w="2326" w:type="dxa"/>
            <w:vAlign w:val="center"/>
          </w:tcPr>
          <w:p w:rsidR="00591B30" w:rsidRPr="00591B30" w:rsidRDefault="00591B30" w:rsidP="00591B3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1B30">
              <w:rPr>
                <w:b/>
                <w:sz w:val="28"/>
                <w:szCs w:val="28"/>
                <w:u w:val="single"/>
              </w:rPr>
              <w:t>No. of UK Outlets 2000</w:t>
            </w:r>
          </w:p>
        </w:tc>
        <w:tc>
          <w:tcPr>
            <w:tcW w:w="2327" w:type="dxa"/>
            <w:vAlign w:val="center"/>
          </w:tcPr>
          <w:p w:rsidR="00591B30" w:rsidRPr="00591B30" w:rsidRDefault="00591B30" w:rsidP="00591B3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</w:t>
            </w:r>
            <w:r w:rsidRPr="00591B30">
              <w:rPr>
                <w:b/>
                <w:sz w:val="28"/>
                <w:szCs w:val="28"/>
                <w:u w:val="single"/>
              </w:rPr>
              <w:t>rm</w:t>
            </w:r>
          </w:p>
        </w:tc>
        <w:tc>
          <w:tcPr>
            <w:tcW w:w="2327" w:type="dxa"/>
            <w:vAlign w:val="center"/>
          </w:tcPr>
          <w:p w:rsidR="00591B30" w:rsidRPr="00591B30" w:rsidRDefault="00591B30" w:rsidP="00591B3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1B30">
              <w:rPr>
                <w:b/>
                <w:sz w:val="28"/>
                <w:szCs w:val="28"/>
                <w:u w:val="single"/>
              </w:rPr>
              <w:t>No. of UK outlets 2010</w:t>
            </w:r>
          </w:p>
        </w:tc>
      </w:tr>
      <w:tr w:rsidR="00591B30" w:rsidTr="00591B30">
        <w:trPr>
          <w:trHeight w:val="376"/>
        </w:trPr>
        <w:tc>
          <w:tcPr>
            <w:tcW w:w="2326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Burberry</w:t>
            </w:r>
          </w:p>
        </w:tc>
        <w:tc>
          <w:tcPr>
            <w:tcW w:w="2326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Burberry</w:t>
            </w:r>
          </w:p>
        </w:tc>
        <w:tc>
          <w:tcPr>
            <w:tcW w:w="2327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91B30" w:rsidTr="00591B30">
        <w:trPr>
          <w:trHeight w:val="376"/>
        </w:trPr>
        <w:tc>
          <w:tcPr>
            <w:tcW w:w="2326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Gucci Group</w:t>
            </w:r>
          </w:p>
        </w:tc>
        <w:tc>
          <w:tcPr>
            <w:tcW w:w="2326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7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Gucci Group</w:t>
            </w:r>
          </w:p>
        </w:tc>
        <w:tc>
          <w:tcPr>
            <w:tcW w:w="2327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91B30" w:rsidTr="00591B30">
        <w:trPr>
          <w:trHeight w:val="402"/>
        </w:trPr>
        <w:tc>
          <w:tcPr>
            <w:tcW w:w="2326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Vuitton</w:t>
            </w:r>
          </w:p>
        </w:tc>
        <w:tc>
          <w:tcPr>
            <w:tcW w:w="2326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Vuitton</w:t>
            </w:r>
          </w:p>
        </w:tc>
        <w:tc>
          <w:tcPr>
            <w:tcW w:w="2327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1B30" w:rsidTr="00591B30">
        <w:trPr>
          <w:trHeight w:val="376"/>
        </w:trPr>
        <w:tc>
          <w:tcPr>
            <w:tcW w:w="2326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Aquascutum</w:t>
            </w:r>
          </w:p>
        </w:tc>
        <w:tc>
          <w:tcPr>
            <w:tcW w:w="2326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7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Aquascutum</w:t>
            </w:r>
          </w:p>
        </w:tc>
        <w:tc>
          <w:tcPr>
            <w:tcW w:w="2327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91B30" w:rsidTr="00591B30">
        <w:trPr>
          <w:trHeight w:val="402"/>
        </w:trPr>
        <w:tc>
          <w:tcPr>
            <w:tcW w:w="2326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 Jacobs</w:t>
            </w:r>
          </w:p>
        </w:tc>
        <w:tc>
          <w:tcPr>
            <w:tcW w:w="2326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 Jacobs</w:t>
            </w:r>
          </w:p>
        </w:tc>
        <w:tc>
          <w:tcPr>
            <w:tcW w:w="2327" w:type="dxa"/>
          </w:tcPr>
          <w:p w:rsidR="00591B30" w:rsidRDefault="00591B30" w:rsidP="005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C33F8" w:rsidRDefault="00EC33F8" w:rsidP="00AB610E">
      <w:pPr>
        <w:rPr>
          <w:sz w:val="28"/>
          <w:szCs w:val="28"/>
        </w:rPr>
      </w:pPr>
    </w:p>
    <w:p w:rsidR="00591B30" w:rsidRPr="00EC33F8" w:rsidRDefault="00591B30" w:rsidP="00AB610E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3D6E445" wp14:editId="76000115">
            <wp:simplePos x="0" y="0"/>
            <wp:positionH relativeFrom="column">
              <wp:posOffset>450215</wp:posOffset>
            </wp:positionH>
            <wp:positionV relativeFrom="paragraph">
              <wp:posOffset>19685</wp:posOffset>
            </wp:positionV>
            <wp:extent cx="2566670" cy="1869440"/>
            <wp:effectExtent l="19050" t="0" r="24130" b="607060"/>
            <wp:wrapTight wrapText="bothSides">
              <wp:wrapPolygon edited="0">
                <wp:start x="481" y="0"/>
                <wp:lineTo x="-160" y="440"/>
                <wp:lineTo x="-160" y="28394"/>
                <wp:lineTo x="21643" y="28394"/>
                <wp:lineTo x="21643" y="24652"/>
                <wp:lineTo x="21482" y="22231"/>
                <wp:lineTo x="21322" y="21130"/>
                <wp:lineTo x="21643" y="18489"/>
                <wp:lineTo x="21643" y="1981"/>
                <wp:lineTo x="21482" y="880"/>
                <wp:lineTo x="21001" y="0"/>
                <wp:lineTo x="481" y="0"/>
              </wp:wrapPolygon>
            </wp:wrapTight>
            <wp:docPr id="4" name="Picture 4" descr="http://www.kokoroyale.com/wp-content/uploads/2008/10/burberry-handbag-2008-campaig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koroyale.com/wp-content/uploads/2008/10/burberry-handbag-2008-campaig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869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35FE2C6" wp14:editId="108B876C">
            <wp:simplePos x="0" y="0"/>
            <wp:positionH relativeFrom="column">
              <wp:posOffset>3234055</wp:posOffset>
            </wp:positionH>
            <wp:positionV relativeFrom="paragraph">
              <wp:posOffset>19050</wp:posOffset>
            </wp:positionV>
            <wp:extent cx="1774190" cy="1863090"/>
            <wp:effectExtent l="0" t="0" r="0" b="3810"/>
            <wp:wrapSquare wrapText="bothSides"/>
            <wp:docPr id="5" name="Picture 5" descr="http://4.bp.blogspot.com/_4OCySdOe8fQ/S8CmSC_VuTI/AAAAAAAAFOI/jfoXtnUZhGw/s1600/Guc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4OCySdOe8fQ/S8CmSC_VuTI/AAAAAAAAFOI/jfoXtnUZhGw/s1600/Gucc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B30" w:rsidRPr="00EC33F8" w:rsidSect="007F1092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0E"/>
    <w:rsid w:val="000A2632"/>
    <w:rsid w:val="002214C5"/>
    <w:rsid w:val="00591B30"/>
    <w:rsid w:val="007F1092"/>
    <w:rsid w:val="00AB610E"/>
    <w:rsid w:val="00CA10F4"/>
    <w:rsid w:val="00EC33F8"/>
    <w:rsid w:val="00F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1763779527559053E-2"/>
                  <c:y val="1.91637503645377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 Burberry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0940288713910762E-2"/>
                  <c:y val="-3.61428258967629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 Gucci Group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4195997375328074"/>
                  <c:y val="-6.19531933508311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 Louis Vuitton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141404199475066"/>
                  <c:y val="-3.6453776611256925E-7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7% Aquascutum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343482064741907"/>
                  <c:y val="-0.17412438028579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 Marc Jacobs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8.6059601924759407E-2"/>
                  <c:y val="-0.147300962379702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31% Other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Sheet1!$E$5:$E$10</c:f>
              <c:strCache>
                <c:ptCount val="6"/>
                <c:pt idx="0">
                  <c:v>Burberry</c:v>
                </c:pt>
                <c:pt idx="1">
                  <c:v>Gucci Group</c:v>
                </c:pt>
                <c:pt idx="2">
                  <c:v>Louis Vutton</c:v>
                </c:pt>
                <c:pt idx="3">
                  <c:v>Aquascutum</c:v>
                </c:pt>
                <c:pt idx="4">
                  <c:v>Marc Jacobs</c:v>
                </c:pt>
                <c:pt idx="5">
                  <c:v>Other</c:v>
                </c:pt>
              </c:strCache>
            </c:strRef>
          </c:cat>
          <c:val>
            <c:numRef>
              <c:f>Sheet1!$F$5:$F$10</c:f>
              <c:numCache>
                <c:formatCode>General</c:formatCode>
                <c:ptCount val="6"/>
                <c:pt idx="0">
                  <c:v>18</c:v>
                </c:pt>
                <c:pt idx="1">
                  <c:v>21</c:v>
                </c:pt>
                <c:pt idx="2">
                  <c:v>17</c:v>
                </c:pt>
                <c:pt idx="3">
                  <c:v>7</c:v>
                </c:pt>
                <c:pt idx="4">
                  <c:v>6</c:v>
                </c:pt>
                <c:pt idx="5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Sales (£bn) High End Fashion Market 2005-2009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Sales (£bn)</c:v>
          </c:tx>
          <c:invertIfNegative val="0"/>
          <c:cat>
            <c:numRef>
              <c:f>Sheet1!$S$9:$S$13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Sheet1!$T$9:$T$13</c:f>
              <c:numCache>
                <c:formatCode>General</c:formatCode>
                <c:ptCount val="5"/>
                <c:pt idx="0">
                  <c:v>4.8</c:v>
                </c:pt>
                <c:pt idx="1">
                  <c:v>5.6</c:v>
                </c:pt>
                <c:pt idx="2">
                  <c:v>6.4</c:v>
                </c:pt>
                <c:pt idx="3">
                  <c:v>5.2</c:v>
                </c:pt>
                <c:pt idx="4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732992"/>
        <c:axId val="175759360"/>
      </c:barChart>
      <c:catAx>
        <c:axId val="17573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759360"/>
        <c:crosses val="autoZero"/>
        <c:auto val="1"/>
        <c:lblAlgn val="ctr"/>
        <c:lblOffset val="100"/>
        <c:noMultiLvlLbl val="0"/>
      </c:catAx>
      <c:valAx>
        <c:axId val="17575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73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4812882764654411E-2"/>
                  <c:y val="2.659922717993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4891185476815398E-2"/>
                  <c:y val="-2.9542869641294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470527121609799"/>
                  <c:y val="-2.00925925925925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2669510061242345E-3"/>
                  <c:y val="2.7437299504228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6071194225721784E-2"/>
                  <c:y val="4.046733741615631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Sheet1!$I$5:$I$10</c:f>
              <c:strCache>
                <c:ptCount val="6"/>
                <c:pt idx="0">
                  <c:v>Burberry</c:v>
                </c:pt>
                <c:pt idx="1">
                  <c:v>Gucci Group</c:v>
                </c:pt>
                <c:pt idx="2">
                  <c:v>Louis Vutton</c:v>
                </c:pt>
                <c:pt idx="3">
                  <c:v>Aquascutum</c:v>
                </c:pt>
                <c:pt idx="4">
                  <c:v>Marc Jacobs</c:v>
                </c:pt>
                <c:pt idx="5">
                  <c:v>Other</c:v>
                </c:pt>
              </c:strCache>
            </c:strRef>
          </c:cat>
          <c:val>
            <c:numRef>
              <c:f>Sheet1!$J$5:$J$10</c:f>
              <c:numCache>
                <c:formatCode>General</c:formatCode>
                <c:ptCount val="6"/>
                <c:pt idx="0">
                  <c:v>14</c:v>
                </c:pt>
                <c:pt idx="1">
                  <c:v>26</c:v>
                </c:pt>
                <c:pt idx="2">
                  <c:v>18</c:v>
                </c:pt>
                <c:pt idx="3">
                  <c:v>3</c:v>
                </c:pt>
                <c:pt idx="4">
                  <c:v>2</c:v>
                </c:pt>
                <c:pt idx="5">
                  <c:v>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TPuser 9</dc:creator>
  <cp:lastModifiedBy>Martin</cp:lastModifiedBy>
  <cp:revision>2</cp:revision>
  <dcterms:created xsi:type="dcterms:W3CDTF">2012-06-19T18:01:00Z</dcterms:created>
  <dcterms:modified xsi:type="dcterms:W3CDTF">2012-06-19T18:01:00Z</dcterms:modified>
</cp:coreProperties>
</file>